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9795" w14:textId="152A1CC2" w:rsidR="00BC4FBE" w:rsidRPr="004C2E55" w:rsidRDefault="00380812" w:rsidP="004C2E55">
      <w:pPr>
        <w:spacing w:after="0" w:line="240" w:lineRule="auto"/>
        <w:jc w:val="center"/>
        <w:rPr>
          <w:rFonts w:asciiTheme="majorBidi" w:hAnsiTheme="majorBidi" w:cstheme="majorBidi"/>
          <w:sz w:val="32"/>
          <w:szCs w:val="32"/>
        </w:rPr>
      </w:pPr>
      <w:r w:rsidRPr="004C2E55">
        <w:rPr>
          <w:rFonts w:asciiTheme="majorBidi" w:eastAsia="Times New Roman" w:hAnsiTheme="majorBidi" w:cstheme="majorBidi"/>
          <w:b/>
          <w:bCs/>
          <w:noProof/>
          <w:color w:val="000000"/>
          <w:sz w:val="30"/>
          <w:szCs w:val="30"/>
          <w:lang w:eastAsia="fr-FR"/>
        </w:rPr>
        <w:drawing>
          <wp:inline distT="0" distB="0" distL="0" distR="0" wp14:anchorId="0B9DFC85" wp14:editId="46ED3D14">
            <wp:extent cx="1262270" cy="11226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930" cy="1135719"/>
                    </a:xfrm>
                    <a:prstGeom prst="rect">
                      <a:avLst/>
                    </a:prstGeom>
                  </pic:spPr>
                </pic:pic>
              </a:graphicData>
            </a:graphic>
          </wp:inline>
        </w:drawing>
      </w:r>
      <w:r w:rsidR="005A2923" w:rsidRPr="004C2E55">
        <w:rPr>
          <w:rFonts w:asciiTheme="majorBidi" w:hAnsiTheme="majorBidi" w:cstheme="majorBidi"/>
          <w:sz w:val="32"/>
          <w:szCs w:val="32"/>
        </w:rPr>
        <w:t xml:space="preserve"> </w:t>
      </w:r>
    </w:p>
    <w:p w14:paraId="23D5A504" w14:textId="77777777" w:rsidR="00482FD4" w:rsidRPr="004C2E55" w:rsidRDefault="00482FD4" w:rsidP="004C2E55">
      <w:pPr>
        <w:bidi/>
        <w:spacing w:after="0" w:line="240" w:lineRule="auto"/>
        <w:jc w:val="center"/>
        <w:rPr>
          <w:rFonts w:asciiTheme="majorBidi" w:hAnsiTheme="majorBidi" w:cstheme="majorBidi"/>
          <w:b/>
          <w:bCs/>
          <w:sz w:val="36"/>
          <w:szCs w:val="36"/>
          <w:rtl/>
        </w:rPr>
      </w:pPr>
      <w:r w:rsidRPr="004C2E55">
        <w:rPr>
          <w:rFonts w:asciiTheme="majorBidi" w:hAnsiTheme="majorBidi" w:cstheme="majorBidi"/>
          <w:b/>
          <w:bCs/>
          <w:sz w:val="36"/>
          <w:szCs w:val="36"/>
          <w:rtl/>
        </w:rPr>
        <w:t xml:space="preserve">8 نوفمبر 2022 </w:t>
      </w:r>
      <w:r w:rsidR="005A2923" w:rsidRPr="004C2E55">
        <w:rPr>
          <w:rFonts w:asciiTheme="majorBidi" w:hAnsiTheme="majorBidi" w:cstheme="majorBidi"/>
          <w:b/>
          <w:bCs/>
          <w:sz w:val="36"/>
          <w:szCs w:val="36"/>
          <w:rtl/>
        </w:rPr>
        <w:t>تونس أمام مجلس حقوق الإنسان:</w:t>
      </w:r>
    </w:p>
    <w:p w14:paraId="700D5661" w14:textId="163247A9" w:rsidR="005A2923" w:rsidRPr="004C2E55" w:rsidRDefault="005A2923" w:rsidP="004C2E55">
      <w:pPr>
        <w:bidi/>
        <w:spacing w:after="0" w:line="240" w:lineRule="auto"/>
        <w:jc w:val="center"/>
        <w:rPr>
          <w:rFonts w:asciiTheme="majorBidi" w:hAnsiTheme="majorBidi" w:cstheme="majorBidi"/>
          <w:b/>
          <w:bCs/>
          <w:sz w:val="40"/>
          <w:szCs w:val="40"/>
        </w:rPr>
      </w:pPr>
      <w:r w:rsidRPr="004C2E55">
        <w:rPr>
          <w:rFonts w:asciiTheme="majorBidi" w:hAnsiTheme="majorBidi" w:cstheme="majorBidi"/>
          <w:b/>
          <w:bCs/>
          <w:sz w:val="40"/>
          <w:szCs w:val="40"/>
          <w:rtl/>
        </w:rPr>
        <w:t xml:space="preserve"> الاستعراض الدوري الشامل</w:t>
      </w:r>
      <w:r w:rsidRPr="004C2E55">
        <w:rPr>
          <w:rFonts w:asciiTheme="majorBidi" w:hAnsiTheme="majorBidi" w:cstheme="majorBidi"/>
          <w:b/>
          <w:bCs/>
          <w:sz w:val="40"/>
          <w:szCs w:val="40"/>
        </w:rPr>
        <w:t xml:space="preserve"> </w:t>
      </w:r>
      <w:r w:rsidR="00482FD4" w:rsidRPr="004C2E55">
        <w:rPr>
          <w:rFonts w:asciiTheme="majorBidi" w:hAnsiTheme="majorBidi" w:cstheme="majorBidi"/>
          <w:b/>
          <w:bCs/>
          <w:sz w:val="40"/>
          <w:szCs w:val="40"/>
          <w:rtl/>
        </w:rPr>
        <w:t xml:space="preserve">للمغالطات </w:t>
      </w:r>
    </w:p>
    <w:p w14:paraId="44AB7971" w14:textId="21F3D5C5" w:rsidR="005A2923" w:rsidRPr="004C2E55" w:rsidRDefault="005A2923" w:rsidP="004C2E55">
      <w:pPr>
        <w:bidi/>
        <w:spacing w:after="0" w:line="240" w:lineRule="auto"/>
        <w:jc w:val="center"/>
        <w:rPr>
          <w:rFonts w:asciiTheme="majorBidi" w:hAnsiTheme="majorBidi" w:cstheme="majorBidi"/>
          <w:b/>
          <w:bCs/>
          <w:sz w:val="40"/>
          <w:szCs w:val="40"/>
        </w:rPr>
      </w:pPr>
      <w:r w:rsidRPr="004C2E55">
        <w:rPr>
          <w:rFonts w:asciiTheme="majorBidi" w:hAnsiTheme="majorBidi" w:cstheme="majorBidi"/>
          <w:b/>
          <w:bCs/>
          <w:sz w:val="40"/>
          <w:szCs w:val="40"/>
        </w:rPr>
        <w:t xml:space="preserve"> </w:t>
      </w:r>
    </w:p>
    <w:p w14:paraId="3B7BEBC7" w14:textId="7871347D" w:rsidR="00055DFC" w:rsidRPr="004C2E55" w:rsidRDefault="00482FD4" w:rsidP="004C2E55">
      <w:pPr>
        <w:spacing w:after="0" w:line="240" w:lineRule="auto"/>
        <w:rPr>
          <w:rFonts w:asciiTheme="majorBidi" w:hAnsiTheme="majorBidi" w:cstheme="majorBidi"/>
          <w:b/>
          <w:bCs/>
          <w:i/>
          <w:iCs/>
          <w:sz w:val="28"/>
          <w:szCs w:val="28"/>
        </w:rPr>
      </w:pPr>
      <w:r w:rsidRPr="004C2E55">
        <w:rPr>
          <w:rFonts w:asciiTheme="majorBidi" w:hAnsiTheme="majorBidi" w:cstheme="majorBidi"/>
          <w:b/>
          <w:bCs/>
          <w:i/>
          <w:iCs/>
          <w:sz w:val="28"/>
          <w:szCs w:val="28"/>
          <w:rtl/>
        </w:rPr>
        <w:t xml:space="preserve">د. </w:t>
      </w:r>
      <w:r w:rsidR="00656E6E" w:rsidRPr="004C2E55">
        <w:rPr>
          <w:rFonts w:asciiTheme="majorBidi" w:hAnsiTheme="majorBidi" w:cstheme="majorBidi"/>
          <w:b/>
          <w:bCs/>
          <w:i/>
          <w:iCs/>
          <w:sz w:val="28"/>
          <w:szCs w:val="28"/>
          <w:rtl/>
        </w:rPr>
        <w:t xml:space="preserve">وحيد </w:t>
      </w:r>
      <w:proofErr w:type="spellStart"/>
      <w:r w:rsidR="00656E6E" w:rsidRPr="004C2E55">
        <w:rPr>
          <w:rFonts w:asciiTheme="majorBidi" w:hAnsiTheme="majorBidi" w:cstheme="majorBidi"/>
          <w:b/>
          <w:bCs/>
          <w:i/>
          <w:iCs/>
          <w:sz w:val="28"/>
          <w:szCs w:val="28"/>
          <w:rtl/>
        </w:rPr>
        <w:t>الفرشيش</w:t>
      </w:r>
      <w:r w:rsidRPr="004C2E55">
        <w:rPr>
          <w:rFonts w:asciiTheme="majorBidi" w:hAnsiTheme="majorBidi" w:cstheme="majorBidi"/>
          <w:b/>
          <w:bCs/>
          <w:i/>
          <w:iCs/>
          <w:sz w:val="28"/>
          <w:szCs w:val="28"/>
          <w:rtl/>
        </w:rPr>
        <w:t>ي</w:t>
      </w:r>
      <w:proofErr w:type="spellEnd"/>
      <w:r w:rsidRPr="004C2E55">
        <w:rPr>
          <w:rStyle w:val="Appelnotedebasdep"/>
          <w:rFonts w:asciiTheme="majorBidi" w:hAnsiTheme="majorBidi" w:cstheme="majorBidi"/>
          <w:sz w:val="28"/>
          <w:szCs w:val="28"/>
          <w:rtl/>
        </w:rPr>
        <w:footnoteReference w:id="1"/>
      </w:r>
    </w:p>
    <w:p w14:paraId="44F20192" w14:textId="77777777" w:rsidR="00656E6E" w:rsidRPr="004C2E55" w:rsidRDefault="00656E6E" w:rsidP="004C2E55">
      <w:pPr>
        <w:spacing w:after="0" w:line="240" w:lineRule="auto"/>
        <w:jc w:val="both"/>
        <w:rPr>
          <w:rFonts w:asciiTheme="majorBidi" w:hAnsiTheme="majorBidi" w:cstheme="majorBidi"/>
          <w:sz w:val="24"/>
          <w:szCs w:val="24"/>
          <w:rtl/>
        </w:rPr>
      </w:pPr>
    </w:p>
    <w:p w14:paraId="21C09820" w14:textId="2763D098" w:rsidR="008D3401" w:rsidRPr="004C2E55" w:rsidRDefault="00656E6E" w:rsidP="004C2E55">
      <w:pPr>
        <w:bidi/>
        <w:spacing w:after="0" w:line="240" w:lineRule="auto"/>
        <w:jc w:val="both"/>
        <w:rPr>
          <w:rFonts w:asciiTheme="majorBidi" w:hAnsiTheme="majorBidi" w:cstheme="majorBidi"/>
          <w:sz w:val="28"/>
          <w:szCs w:val="28"/>
          <w:rtl/>
          <w:lang w:bidi="ar-TN"/>
        </w:rPr>
      </w:pPr>
      <w:r w:rsidRPr="004C2E55">
        <w:rPr>
          <w:rFonts w:asciiTheme="majorBidi" w:hAnsiTheme="majorBidi" w:cstheme="majorBidi"/>
          <w:sz w:val="28"/>
          <w:szCs w:val="28"/>
          <w:rtl/>
        </w:rPr>
        <w:t xml:space="preserve">تقرير وطني مقدم عملا </w:t>
      </w:r>
      <w:proofErr w:type="spellStart"/>
      <w:r w:rsidRPr="004C2E55">
        <w:rPr>
          <w:rFonts w:asciiTheme="majorBidi" w:hAnsiTheme="majorBidi" w:cstheme="majorBidi"/>
          <w:sz w:val="28"/>
          <w:szCs w:val="28"/>
          <w:rtl/>
        </w:rPr>
        <w:t>بقرارري</w:t>
      </w:r>
      <w:proofErr w:type="spellEnd"/>
      <w:r w:rsidRPr="004C2E55">
        <w:rPr>
          <w:rFonts w:asciiTheme="majorBidi" w:hAnsiTheme="majorBidi" w:cstheme="majorBidi"/>
          <w:sz w:val="28"/>
          <w:szCs w:val="28"/>
          <w:rtl/>
        </w:rPr>
        <w:t xml:space="preserve"> مجلس حقوق الإنسان</w:t>
      </w:r>
      <w:r w:rsidR="00F27BE1" w:rsidRPr="004C2E55">
        <w:rPr>
          <w:rFonts w:asciiTheme="majorBidi" w:hAnsiTheme="majorBidi" w:cstheme="majorBidi"/>
          <w:sz w:val="28"/>
          <w:szCs w:val="28"/>
          <w:rtl/>
        </w:rPr>
        <w:t xml:space="preserve"> 5/1 و16/21</w:t>
      </w:r>
      <w:r w:rsidR="00F27BE1" w:rsidRPr="004C2E55">
        <w:rPr>
          <w:rFonts w:asciiTheme="majorBidi" w:hAnsiTheme="majorBidi" w:cstheme="majorBidi"/>
          <w:sz w:val="28"/>
          <w:szCs w:val="28"/>
        </w:rPr>
        <w:t>.</w:t>
      </w:r>
      <w:r w:rsidR="00F27BE1" w:rsidRPr="004C2E55">
        <w:rPr>
          <w:rFonts w:asciiTheme="majorBidi" w:hAnsiTheme="majorBidi" w:cstheme="majorBidi"/>
          <w:sz w:val="28"/>
          <w:szCs w:val="28"/>
          <w:rtl/>
        </w:rPr>
        <w:t xml:space="preserve"> </w:t>
      </w:r>
    </w:p>
    <w:p w14:paraId="41998C62" w14:textId="46C0A6B0" w:rsidR="00B47D54" w:rsidRPr="004C2E55" w:rsidRDefault="00A70C1F"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تقدم</w:t>
      </w:r>
      <w:r w:rsidR="008D3401" w:rsidRPr="004C2E55">
        <w:rPr>
          <w:rFonts w:asciiTheme="majorBidi" w:hAnsiTheme="majorBidi" w:cstheme="majorBidi"/>
          <w:sz w:val="28"/>
          <w:szCs w:val="28"/>
          <w:rtl/>
        </w:rPr>
        <w:t xml:space="preserve"> تونس </w:t>
      </w:r>
      <w:r w:rsidRPr="004C2E55">
        <w:rPr>
          <w:rFonts w:asciiTheme="majorBidi" w:hAnsiTheme="majorBidi" w:cstheme="majorBidi"/>
          <w:sz w:val="28"/>
          <w:szCs w:val="28"/>
          <w:rtl/>
        </w:rPr>
        <w:t>وت</w:t>
      </w:r>
      <w:r w:rsidR="008D3401" w:rsidRPr="004C2E55">
        <w:rPr>
          <w:rFonts w:asciiTheme="majorBidi" w:hAnsiTheme="majorBidi" w:cstheme="majorBidi"/>
          <w:sz w:val="28"/>
          <w:szCs w:val="28"/>
          <w:rtl/>
        </w:rPr>
        <w:t>ناقش تقريرها الدوري الشامل الرابع في 8 نوفمبر أمام مجلس حقوق الإنسان في جنيف</w:t>
      </w:r>
      <w:r w:rsidR="004742A2" w:rsidRPr="004C2E55">
        <w:rPr>
          <w:rStyle w:val="Appelnotedebasdep"/>
          <w:rFonts w:asciiTheme="majorBidi" w:hAnsiTheme="majorBidi" w:cstheme="majorBidi"/>
          <w:sz w:val="28"/>
          <w:szCs w:val="28"/>
        </w:rPr>
        <w:footnoteReference w:id="2"/>
      </w:r>
      <w:r w:rsidR="008D3401" w:rsidRPr="004C2E55">
        <w:rPr>
          <w:rFonts w:asciiTheme="majorBidi" w:hAnsiTheme="majorBidi" w:cstheme="majorBidi"/>
          <w:sz w:val="28"/>
          <w:szCs w:val="28"/>
          <w:rtl/>
        </w:rPr>
        <w:t xml:space="preserve">. تم ايداع التقرير التونسي في 29 </w:t>
      </w:r>
      <w:r w:rsidR="000464AD" w:rsidRPr="004C2E55">
        <w:rPr>
          <w:rFonts w:asciiTheme="majorBidi" w:hAnsiTheme="majorBidi" w:cstheme="majorBidi"/>
          <w:sz w:val="28"/>
          <w:szCs w:val="28"/>
          <w:rtl/>
        </w:rPr>
        <w:t>أوت</w:t>
      </w:r>
      <w:r w:rsidR="008D3401" w:rsidRPr="004C2E55">
        <w:rPr>
          <w:rFonts w:asciiTheme="majorBidi" w:hAnsiTheme="majorBidi" w:cstheme="majorBidi"/>
          <w:sz w:val="28"/>
          <w:szCs w:val="28"/>
          <w:rtl/>
        </w:rPr>
        <w:t xml:space="preserve"> ونشر في أكتوبر 2022. وقدمت الدولة من خلال الآلية الوطنية لإعداد التقارير ومتابعة التوصيات</w:t>
      </w:r>
      <w:r w:rsidR="000464AD" w:rsidRPr="004C2E55">
        <w:rPr>
          <w:rFonts w:asciiTheme="majorBidi" w:hAnsiTheme="majorBidi" w:cstheme="majorBidi"/>
          <w:sz w:val="28"/>
          <w:szCs w:val="28"/>
          <w:rtl/>
        </w:rPr>
        <w:t xml:space="preserve"> الإنسان قراءتها لوضعية حقوق الإنسان التي تغطي الفترة 2017-2022 وتتمثل في اللجنة الوطنية للتنسيق وإعداد وتقديم التقارير ومتابعة التوصيات في مجال حقوق الإنسان</w:t>
      </w:r>
      <w:r w:rsidR="00C1276E" w:rsidRPr="004C2E55">
        <w:rPr>
          <w:rStyle w:val="Appelnotedebasdep"/>
          <w:rFonts w:asciiTheme="majorBidi" w:hAnsiTheme="majorBidi" w:cstheme="majorBidi"/>
          <w:sz w:val="28"/>
          <w:szCs w:val="28"/>
          <w:rtl/>
        </w:rPr>
        <w:footnoteReference w:id="3"/>
      </w:r>
      <w:r w:rsidR="00C1276E" w:rsidRPr="004C2E55">
        <w:rPr>
          <w:rFonts w:asciiTheme="majorBidi" w:hAnsiTheme="majorBidi" w:cstheme="majorBidi"/>
          <w:sz w:val="28"/>
          <w:szCs w:val="28"/>
          <w:rtl/>
        </w:rPr>
        <w:t>.</w:t>
      </w:r>
    </w:p>
    <w:p w14:paraId="6E41184B" w14:textId="530C1ABB" w:rsidR="00B47D54" w:rsidRPr="004C2E55" w:rsidRDefault="00806B5D"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تثمن الدولة </w:t>
      </w:r>
      <w:r w:rsidR="00B47D54" w:rsidRPr="004C2E55">
        <w:rPr>
          <w:rFonts w:asciiTheme="majorBidi" w:hAnsiTheme="majorBidi" w:cstheme="majorBidi"/>
          <w:sz w:val="28"/>
          <w:szCs w:val="28"/>
          <w:rtl/>
        </w:rPr>
        <w:t xml:space="preserve">في هذا التقرير إنجازاتها الكبرى في مجال حقوق الإنسان. لكن وفي اعتقادنا أن الطريقة المعتمدة في تقديم التقرير لم تضف إلا شبه حقائق أو أكاذيب كما تعمدت اغفال العديد من المسائل </w:t>
      </w:r>
      <w:r w:rsidR="00A70C1F" w:rsidRPr="004C2E55">
        <w:rPr>
          <w:rFonts w:asciiTheme="majorBidi" w:hAnsiTheme="majorBidi" w:cstheme="majorBidi"/>
          <w:sz w:val="28"/>
          <w:szCs w:val="28"/>
          <w:rtl/>
        </w:rPr>
        <w:t>الهامة.</w:t>
      </w:r>
    </w:p>
    <w:p w14:paraId="126A4BEE" w14:textId="77777777" w:rsidR="00A70C1F" w:rsidRPr="004C2E55" w:rsidRDefault="00A70C1F" w:rsidP="004C2E55">
      <w:pPr>
        <w:bidi/>
        <w:spacing w:after="0" w:line="240" w:lineRule="auto"/>
        <w:jc w:val="both"/>
        <w:rPr>
          <w:rFonts w:asciiTheme="majorBidi" w:hAnsiTheme="majorBidi" w:cstheme="majorBidi"/>
          <w:sz w:val="28"/>
          <w:szCs w:val="28"/>
          <w:rtl/>
        </w:rPr>
      </w:pPr>
    </w:p>
    <w:p w14:paraId="0854AFF7" w14:textId="65575DAC" w:rsidR="00874DCD" w:rsidRPr="004C2E55" w:rsidRDefault="00874DCD" w:rsidP="004C2E55">
      <w:pPr>
        <w:pStyle w:val="Paragraphedeliste"/>
        <w:numPr>
          <w:ilvl w:val="0"/>
          <w:numId w:val="2"/>
        </w:numPr>
        <w:bidi/>
        <w:spacing w:after="0" w:line="240" w:lineRule="auto"/>
        <w:jc w:val="both"/>
        <w:rPr>
          <w:rFonts w:asciiTheme="majorBidi" w:hAnsiTheme="majorBidi" w:cstheme="majorBidi"/>
          <w:b/>
          <w:bCs/>
          <w:sz w:val="32"/>
          <w:szCs w:val="32"/>
          <w:rtl/>
        </w:rPr>
      </w:pPr>
      <w:r w:rsidRPr="004C2E55">
        <w:rPr>
          <w:rFonts w:asciiTheme="majorBidi" w:hAnsiTheme="majorBidi" w:cstheme="majorBidi"/>
          <w:b/>
          <w:bCs/>
          <w:sz w:val="32"/>
          <w:szCs w:val="32"/>
          <w:rtl/>
        </w:rPr>
        <w:t>شبه الحقائق: التستر عن جملة من المسائل</w:t>
      </w:r>
      <w:r w:rsidR="0035139B" w:rsidRPr="004C2E55">
        <w:rPr>
          <w:rFonts w:asciiTheme="majorBidi" w:hAnsiTheme="majorBidi" w:cstheme="majorBidi"/>
          <w:b/>
          <w:bCs/>
          <w:sz w:val="32"/>
          <w:szCs w:val="32"/>
          <w:rtl/>
        </w:rPr>
        <w:t>!</w:t>
      </w:r>
    </w:p>
    <w:p w14:paraId="459E8ED6" w14:textId="672F2094" w:rsidR="00EE603B" w:rsidRPr="004C2E55" w:rsidRDefault="00874DCD" w:rsidP="004C2E55">
      <w:pPr>
        <w:bidi/>
        <w:spacing w:after="0" w:line="240" w:lineRule="auto"/>
        <w:ind w:left="360"/>
        <w:jc w:val="both"/>
        <w:rPr>
          <w:rFonts w:asciiTheme="majorBidi" w:hAnsiTheme="majorBidi" w:cstheme="majorBidi"/>
          <w:sz w:val="28"/>
          <w:szCs w:val="28"/>
        </w:rPr>
      </w:pPr>
      <w:r w:rsidRPr="004C2E55">
        <w:rPr>
          <w:rFonts w:asciiTheme="majorBidi" w:hAnsiTheme="majorBidi" w:cstheme="majorBidi"/>
          <w:sz w:val="28"/>
          <w:szCs w:val="28"/>
          <w:rtl/>
        </w:rPr>
        <w:t xml:space="preserve">ثمنت الدولة في تقريرها الوطني العديد من الإنجازات التي قامت بها في عديد المجالات معتبرة إياها خطوة هامة </w:t>
      </w:r>
      <w:r w:rsidR="0035139B" w:rsidRPr="004C2E55">
        <w:rPr>
          <w:rFonts w:asciiTheme="majorBidi" w:hAnsiTheme="majorBidi" w:cstheme="majorBidi"/>
          <w:sz w:val="28"/>
          <w:szCs w:val="28"/>
          <w:rtl/>
        </w:rPr>
        <w:t>في مجال حقوق الإنسان</w:t>
      </w:r>
      <w:r w:rsidRPr="004C2E55">
        <w:rPr>
          <w:rFonts w:asciiTheme="majorBidi" w:hAnsiTheme="majorBidi" w:cstheme="majorBidi"/>
          <w:sz w:val="28"/>
          <w:szCs w:val="28"/>
          <w:rtl/>
        </w:rPr>
        <w:t xml:space="preserve">. هذا وقد غفلت عن </w:t>
      </w:r>
      <w:r w:rsidR="0035139B" w:rsidRPr="004C2E55">
        <w:rPr>
          <w:rFonts w:asciiTheme="majorBidi" w:hAnsiTheme="majorBidi" w:cstheme="majorBidi"/>
          <w:sz w:val="28"/>
          <w:szCs w:val="28"/>
          <w:rtl/>
        </w:rPr>
        <w:t>ذكر العقبات المختلفة التي تعيق إنجازاتها.</w:t>
      </w:r>
    </w:p>
    <w:p w14:paraId="5BC9A2A8" w14:textId="77777777" w:rsidR="0053253E" w:rsidRPr="004C2E55" w:rsidRDefault="0053253E" w:rsidP="004C2E55">
      <w:pPr>
        <w:spacing w:after="0" w:line="240" w:lineRule="auto"/>
        <w:jc w:val="both"/>
        <w:rPr>
          <w:rFonts w:asciiTheme="majorBidi" w:hAnsiTheme="majorBidi" w:cstheme="majorBidi"/>
          <w:b/>
          <w:bCs/>
          <w:i/>
          <w:iCs/>
          <w:sz w:val="28"/>
          <w:szCs w:val="28"/>
          <w:rtl/>
        </w:rPr>
      </w:pPr>
    </w:p>
    <w:p w14:paraId="2671810C" w14:textId="1F673B67" w:rsidR="00EE603B" w:rsidRPr="004C2E55" w:rsidRDefault="00A70C1F" w:rsidP="004C2E55">
      <w:pPr>
        <w:bidi/>
        <w:spacing w:after="0" w:line="240" w:lineRule="auto"/>
        <w:ind w:left="360"/>
        <w:jc w:val="both"/>
        <w:rPr>
          <w:rFonts w:asciiTheme="majorBidi" w:hAnsiTheme="majorBidi" w:cstheme="majorBidi"/>
          <w:b/>
          <w:bCs/>
          <w:i/>
          <w:iCs/>
          <w:sz w:val="28"/>
          <w:szCs w:val="28"/>
        </w:rPr>
      </w:pPr>
      <w:r w:rsidRPr="004C2E55">
        <w:rPr>
          <w:rFonts w:asciiTheme="majorBidi" w:hAnsiTheme="majorBidi" w:cstheme="majorBidi"/>
          <w:b/>
          <w:bCs/>
          <w:i/>
          <w:iCs/>
          <w:sz w:val="28"/>
          <w:szCs w:val="28"/>
          <w:rtl/>
        </w:rPr>
        <w:t xml:space="preserve">1.2. </w:t>
      </w:r>
      <w:r w:rsidR="00EE603B" w:rsidRPr="004C2E55">
        <w:rPr>
          <w:rFonts w:asciiTheme="majorBidi" w:hAnsiTheme="majorBidi" w:cstheme="majorBidi"/>
          <w:b/>
          <w:bCs/>
          <w:i/>
          <w:iCs/>
          <w:sz w:val="28"/>
          <w:szCs w:val="28"/>
          <w:rtl/>
        </w:rPr>
        <w:t xml:space="preserve">في القائمة الطويلة </w:t>
      </w:r>
      <w:r w:rsidR="00A2709B" w:rsidRPr="004C2E55">
        <w:rPr>
          <w:rFonts w:asciiTheme="majorBidi" w:hAnsiTheme="majorBidi" w:cstheme="majorBidi"/>
          <w:b/>
          <w:bCs/>
          <w:i/>
          <w:iCs/>
          <w:sz w:val="28"/>
          <w:szCs w:val="28"/>
          <w:rtl/>
        </w:rPr>
        <w:t>للنصوص الدولية المصادق عليها والتي نادرا ما يتم تطبيقها</w:t>
      </w:r>
      <w:bookmarkStart w:id="2" w:name="_Hlk117924400"/>
      <w:r w:rsidR="006669DF" w:rsidRPr="004C2E55">
        <w:rPr>
          <w:rStyle w:val="Appelnotedebasdep"/>
          <w:rFonts w:asciiTheme="majorBidi" w:hAnsiTheme="majorBidi" w:cstheme="majorBidi"/>
          <w:sz w:val="28"/>
          <w:szCs w:val="28"/>
          <w:rtl/>
        </w:rPr>
        <w:footnoteReference w:id="4"/>
      </w:r>
      <w:bookmarkEnd w:id="2"/>
      <w:r w:rsidR="00A2709B" w:rsidRPr="004C2E55">
        <w:rPr>
          <w:rFonts w:asciiTheme="majorBidi" w:hAnsiTheme="majorBidi" w:cstheme="majorBidi"/>
          <w:b/>
          <w:bCs/>
          <w:i/>
          <w:iCs/>
          <w:sz w:val="28"/>
          <w:szCs w:val="28"/>
          <w:rtl/>
        </w:rPr>
        <w:t xml:space="preserve"> </w:t>
      </w:r>
      <w:r w:rsidR="00A2709B" w:rsidRPr="004C2E55">
        <w:rPr>
          <w:rFonts w:asciiTheme="majorBidi" w:hAnsiTheme="majorBidi" w:cstheme="majorBidi"/>
          <w:b/>
          <w:bCs/>
          <w:i/>
          <w:iCs/>
          <w:sz w:val="24"/>
          <w:szCs w:val="24"/>
          <w:highlight w:val="lightGray"/>
          <w:rtl/>
        </w:rPr>
        <w:t>(</w:t>
      </w:r>
      <w:r w:rsidR="0092598E" w:rsidRPr="004C2E55">
        <w:rPr>
          <w:rFonts w:asciiTheme="majorBidi" w:hAnsiTheme="majorBidi" w:cstheme="majorBidi"/>
          <w:b/>
          <w:bCs/>
          <w:i/>
          <w:iCs/>
          <w:sz w:val="24"/>
          <w:szCs w:val="24"/>
          <w:highlight w:val="lightGray"/>
          <w:rtl/>
        </w:rPr>
        <w:t>الفقرة 7)</w:t>
      </w:r>
    </w:p>
    <w:p w14:paraId="6B7066B9" w14:textId="51696687" w:rsidR="00EE603B" w:rsidRPr="004C2E55" w:rsidRDefault="0092598E"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تعدد الدولة التونسية في تقريرها النصوص الدولية التي قامت بالمصادقة عليها منذ سنة 2017. تتمثل النصوص في القائمة التالية</w:t>
      </w:r>
      <w:r w:rsidR="00482FD4" w:rsidRPr="004C2E55">
        <w:rPr>
          <w:rStyle w:val="Appelnotedebasdep"/>
          <w:rFonts w:asciiTheme="majorBidi" w:hAnsiTheme="majorBidi" w:cstheme="majorBidi"/>
          <w:sz w:val="28"/>
          <w:szCs w:val="28"/>
          <w:rtl/>
        </w:rPr>
        <w:footnoteReference w:id="5"/>
      </w:r>
      <w:r w:rsidRPr="004C2E55">
        <w:rPr>
          <w:rFonts w:asciiTheme="majorBidi" w:hAnsiTheme="majorBidi" w:cstheme="majorBidi"/>
          <w:sz w:val="28"/>
          <w:szCs w:val="28"/>
          <w:rtl/>
        </w:rPr>
        <w:t>:</w:t>
      </w:r>
    </w:p>
    <w:p w14:paraId="6171E391" w14:textId="08D42FF0" w:rsidR="0053253E" w:rsidRPr="004C2E55" w:rsidRDefault="00F15195"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w:t>
      </w:r>
      <w:r w:rsidR="0053253E" w:rsidRPr="004C2E55">
        <w:rPr>
          <w:rFonts w:asciiTheme="majorBidi" w:hAnsiTheme="majorBidi" w:cstheme="majorBidi"/>
          <w:sz w:val="28"/>
          <w:szCs w:val="28"/>
          <w:rtl/>
        </w:rPr>
        <w:t>البروتوكول الاختياري الثالث لاتفاقية حقوق الطفل المتعلق بـإجراء تقـديم البلاغات</w:t>
      </w:r>
      <w:r w:rsidR="00A2709B" w:rsidRPr="004C2E55">
        <w:rPr>
          <w:rFonts w:asciiTheme="majorBidi" w:hAnsiTheme="majorBidi" w:cstheme="majorBidi"/>
          <w:sz w:val="28"/>
          <w:szCs w:val="28"/>
          <w:rtl/>
        </w:rPr>
        <w:t xml:space="preserve"> </w:t>
      </w:r>
    </w:p>
    <w:p w14:paraId="04DD70EC" w14:textId="4F3FC9CD" w:rsidR="00EE603B" w:rsidRPr="004C2E55" w:rsidRDefault="00F15195"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w:t>
      </w:r>
      <w:r w:rsidR="00EE603B" w:rsidRPr="004C2E55">
        <w:rPr>
          <w:rFonts w:asciiTheme="majorBidi" w:hAnsiTheme="majorBidi" w:cstheme="majorBidi"/>
          <w:sz w:val="28"/>
          <w:szCs w:val="28"/>
          <w:rtl/>
        </w:rPr>
        <w:t>بروتوكول حقوق المرأة في أفريقيا الملحق بالميثاق الأفريقي لحقوق الإنسان والشعوب</w:t>
      </w:r>
    </w:p>
    <w:p w14:paraId="6E32AE5C" w14:textId="5D2D9F7A" w:rsidR="00EE603B" w:rsidRPr="004C2E55" w:rsidRDefault="00F15195"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w:t>
      </w:r>
      <w:r w:rsidR="00EE603B" w:rsidRPr="004C2E55">
        <w:rPr>
          <w:rFonts w:asciiTheme="majorBidi" w:hAnsiTheme="majorBidi" w:cstheme="majorBidi"/>
          <w:sz w:val="28"/>
          <w:szCs w:val="28"/>
          <w:rtl/>
        </w:rPr>
        <w:t>اتفاقية مجلس أوروبا بشأن حماية الأطفال من الاستغلال الجنسي والاعتداء الجنسي</w:t>
      </w:r>
    </w:p>
    <w:p w14:paraId="059F87DA" w14:textId="179A46DF" w:rsidR="00EE603B" w:rsidRPr="004C2E55" w:rsidRDefault="00F15195"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w:t>
      </w:r>
      <w:r w:rsidR="00EE603B" w:rsidRPr="004C2E55">
        <w:rPr>
          <w:rFonts w:asciiTheme="majorBidi" w:hAnsiTheme="majorBidi" w:cstheme="majorBidi"/>
          <w:sz w:val="28"/>
          <w:szCs w:val="28"/>
          <w:rtl/>
        </w:rPr>
        <w:t>الاتفاقية رقم 108 لمجلس أوروبا المتعلقة بحماية الأشخاص تجاه المعالجة الآ</w:t>
      </w:r>
      <w:r w:rsidRPr="004C2E55">
        <w:rPr>
          <w:rFonts w:asciiTheme="majorBidi" w:hAnsiTheme="majorBidi" w:cstheme="majorBidi"/>
          <w:sz w:val="28"/>
          <w:szCs w:val="28"/>
          <w:rtl/>
        </w:rPr>
        <w:t xml:space="preserve">لية للمعطيات ذات الطابع الشخصي، </w:t>
      </w:r>
      <w:r w:rsidR="00EE603B" w:rsidRPr="004C2E55">
        <w:rPr>
          <w:rFonts w:asciiTheme="majorBidi" w:hAnsiTheme="majorBidi" w:cstheme="majorBidi"/>
          <w:sz w:val="28"/>
          <w:szCs w:val="28"/>
          <w:rtl/>
        </w:rPr>
        <w:t>وبروتوكولها الإضافي رقم 181 الخاص بسلطات المراقبة وانسياب وتدفق المعطيات عبر الحدود</w:t>
      </w:r>
      <w:r w:rsidRPr="004C2E55">
        <w:rPr>
          <w:rFonts w:asciiTheme="majorBidi" w:hAnsiTheme="majorBidi" w:cstheme="majorBidi"/>
          <w:sz w:val="28"/>
          <w:szCs w:val="28"/>
          <w:rtl/>
        </w:rPr>
        <w:t>.</w:t>
      </w:r>
    </w:p>
    <w:p w14:paraId="6BF7389B" w14:textId="45CBBABD" w:rsidR="00A13A51" w:rsidRPr="004C2E55" w:rsidRDefault="00A13A51"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 xml:space="preserve">بيد أن هذه المجموعة </w:t>
      </w:r>
      <w:r w:rsidR="00555418" w:rsidRPr="004C2E55">
        <w:rPr>
          <w:rFonts w:asciiTheme="majorBidi" w:hAnsiTheme="majorBidi" w:cstheme="majorBidi"/>
          <w:sz w:val="28"/>
          <w:szCs w:val="28"/>
          <w:rtl/>
        </w:rPr>
        <w:t>الهامة</w:t>
      </w:r>
      <w:r w:rsidRPr="004C2E55">
        <w:rPr>
          <w:rFonts w:asciiTheme="majorBidi" w:hAnsiTheme="majorBidi" w:cstheme="majorBidi"/>
          <w:sz w:val="28"/>
          <w:szCs w:val="28"/>
          <w:rtl/>
        </w:rPr>
        <w:t xml:space="preserve"> من الاتفاقيات والبروتوكولات ظلت </w:t>
      </w:r>
      <w:r w:rsidR="00F959EA" w:rsidRPr="004C2E55">
        <w:rPr>
          <w:rFonts w:asciiTheme="majorBidi" w:hAnsiTheme="majorBidi" w:cstheme="majorBidi"/>
          <w:sz w:val="28"/>
          <w:szCs w:val="28"/>
          <w:rtl/>
        </w:rPr>
        <w:t>حبرا على ورق</w:t>
      </w:r>
      <w:r w:rsidRPr="004C2E55">
        <w:rPr>
          <w:rFonts w:asciiTheme="majorBidi" w:hAnsiTheme="majorBidi" w:cstheme="majorBidi"/>
          <w:sz w:val="28"/>
          <w:szCs w:val="28"/>
          <w:rtl/>
        </w:rPr>
        <w:t xml:space="preserve"> في </w:t>
      </w:r>
      <w:r w:rsidR="00555418" w:rsidRPr="004C2E55">
        <w:rPr>
          <w:rFonts w:asciiTheme="majorBidi" w:hAnsiTheme="majorBidi" w:cstheme="majorBidi"/>
          <w:sz w:val="28"/>
          <w:szCs w:val="28"/>
          <w:rtl/>
        </w:rPr>
        <w:t>الرائد الرسمي</w:t>
      </w:r>
      <w:r w:rsidRPr="004C2E55">
        <w:rPr>
          <w:rFonts w:asciiTheme="majorBidi" w:hAnsiTheme="majorBidi" w:cstheme="majorBidi"/>
          <w:sz w:val="28"/>
          <w:szCs w:val="28"/>
          <w:rtl/>
        </w:rPr>
        <w:t xml:space="preserve">. </w:t>
      </w:r>
      <w:r w:rsidR="00F959EA" w:rsidRPr="004C2E55">
        <w:rPr>
          <w:rFonts w:asciiTheme="majorBidi" w:hAnsiTheme="majorBidi" w:cstheme="majorBidi"/>
          <w:sz w:val="28"/>
          <w:szCs w:val="28"/>
          <w:rtl/>
        </w:rPr>
        <w:t>وحتى إن وقع</w:t>
      </w:r>
      <w:r w:rsidRPr="004C2E55">
        <w:rPr>
          <w:rFonts w:asciiTheme="majorBidi" w:hAnsiTheme="majorBidi" w:cstheme="majorBidi"/>
          <w:sz w:val="28"/>
          <w:szCs w:val="28"/>
          <w:rtl/>
        </w:rPr>
        <w:t xml:space="preserve"> إدراج بعض </w:t>
      </w:r>
      <w:r w:rsidR="00F959EA" w:rsidRPr="004C2E55">
        <w:rPr>
          <w:rFonts w:asciiTheme="majorBidi" w:hAnsiTheme="majorBidi" w:cstheme="majorBidi"/>
          <w:sz w:val="28"/>
          <w:szCs w:val="28"/>
          <w:rtl/>
        </w:rPr>
        <w:t>الفصول</w:t>
      </w:r>
      <w:r w:rsidRPr="004C2E55">
        <w:rPr>
          <w:rFonts w:asciiTheme="majorBidi" w:hAnsiTheme="majorBidi" w:cstheme="majorBidi"/>
          <w:sz w:val="28"/>
          <w:szCs w:val="28"/>
          <w:rtl/>
        </w:rPr>
        <w:t xml:space="preserve"> المتعلقة بحماية الأطفال من أي اعتداء جنسي على شبكة الإنترنت (</w:t>
      </w:r>
      <w:r w:rsidR="00F27905" w:rsidRPr="004C2E55">
        <w:rPr>
          <w:rFonts w:asciiTheme="majorBidi" w:hAnsiTheme="majorBidi" w:cstheme="majorBidi"/>
          <w:sz w:val="28"/>
          <w:szCs w:val="28"/>
          <w:rtl/>
        </w:rPr>
        <w:t xml:space="preserve">وذلك </w:t>
      </w:r>
      <w:r w:rsidR="00F959EA" w:rsidRPr="004C2E55">
        <w:rPr>
          <w:rFonts w:asciiTheme="majorBidi" w:hAnsiTheme="majorBidi" w:cstheme="majorBidi"/>
          <w:sz w:val="28"/>
          <w:szCs w:val="28"/>
          <w:rtl/>
        </w:rPr>
        <w:t xml:space="preserve">في </w:t>
      </w:r>
      <w:proofErr w:type="gramStart"/>
      <w:r w:rsidR="00F959EA" w:rsidRPr="004C2E55">
        <w:rPr>
          <w:rFonts w:asciiTheme="majorBidi" w:hAnsiTheme="majorBidi" w:cstheme="majorBidi"/>
          <w:sz w:val="28"/>
          <w:szCs w:val="28"/>
          <w:rtl/>
        </w:rPr>
        <w:lastRenderedPageBreak/>
        <w:t>اطار</w:t>
      </w:r>
      <w:proofErr w:type="gramEnd"/>
      <w:r w:rsidRPr="004C2E55">
        <w:rPr>
          <w:rFonts w:asciiTheme="majorBidi" w:hAnsiTheme="majorBidi" w:cstheme="majorBidi"/>
          <w:sz w:val="28"/>
          <w:szCs w:val="28"/>
          <w:rtl/>
        </w:rPr>
        <w:t xml:space="preserve"> </w:t>
      </w:r>
      <w:r w:rsidR="00F959EA" w:rsidRPr="004C2E55">
        <w:rPr>
          <w:rFonts w:asciiTheme="majorBidi" w:hAnsiTheme="majorBidi" w:cstheme="majorBidi"/>
          <w:sz w:val="28"/>
          <w:szCs w:val="28"/>
          <w:rtl/>
        </w:rPr>
        <w:t>ال</w:t>
      </w:r>
      <w:r w:rsidRPr="004C2E55">
        <w:rPr>
          <w:rFonts w:asciiTheme="majorBidi" w:hAnsiTheme="majorBidi" w:cstheme="majorBidi"/>
          <w:sz w:val="28"/>
          <w:szCs w:val="28"/>
          <w:rtl/>
        </w:rPr>
        <w:t xml:space="preserve">مرسوم </w:t>
      </w:r>
      <w:r w:rsidR="00F959EA" w:rsidRPr="004C2E55">
        <w:rPr>
          <w:rFonts w:asciiTheme="majorBidi" w:hAnsiTheme="majorBidi" w:cstheme="majorBidi"/>
          <w:sz w:val="28"/>
          <w:szCs w:val="28"/>
          <w:rtl/>
        </w:rPr>
        <w:t>ال</w:t>
      </w:r>
      <w:r w:rsidRPr="004C2E55">
        <w:rPr>
          <w:rFonts w:asciiTheme="majorBidi" w:hAnsiTheme="majorBidi" w:cstheme="majorBidi"/>
          <w:sz w:val="28"/>
          <w:szCs w:val="28"/>
          <w:rtl/>
        </w:rPr>
        <w:t xml:space="preserve">مثير للجدل </w:t>
      </w:r>
      <w:r w:rsidR="00A70C1F" w:rsidRPr="004C2E55">
        <w:rPr>
          <w:rFonts w:asciiTheme="majorBidi" w:hAnsiTheme="majorBidi" w:cstheme="majorBidi"/>
          <w:sz w:val="28"/>
          <w:szCs w:val="28"/>
          <w:rtl/>
        </w:rPr>
        <w:t>عدد 2022</w:t>
      </w:r>
      <w:r w:rsidRPr="004C2E55">
        <w:rPr>
          <w:rFonts w:asciiTheme="majorBidi" w:hAnsiTheme="majorBidi" w:cstheme="majorBidi"/>
          <w:sz w:val="28"/>
          <w:szCs w:val="28"/>
          <w:rtl/>
        </w:rPr>
        <w:t>-54 المؤرخ 13 سبتمبر 2022</w:t>
      </w:r>
      <w:r w:rsidR="00F27905" w:rsidRPr="004C2E55">
        <w:rPr>
          <w:rStyle w:val="Appelnotedebasdep"/>
          <w:rFonts w:asciiTheme="majorBidi" w:hAnsiTheme="majorBidi" w:cstheme="majorBidi"/>
          <w:sz w:val="28"/>
          <w:szCs w:val="28"/>
        </w:rPr>
        <w:footnoteReference w:id="6"/>
      </w:r>
      <w:r w:rsidRPr="004C2E55">
        <w:rPr>
          <w:rFonts w:asciiTheme="majorBidi" w:hAnsiTheme="majorBidi" w:cstheme="majorBidi"/>
          <w:sz w:val="28"/>
          <w:szCs w:val="28"/>
          <w:rtl/>
        </w:rPr>
        <w:t xml:space="preserve">)، </w:t>
      </w:r>
      <w:r w:rsidR="00F959EA" w:rsidRPr="004C2E55">
        <w:rPr>
          <w:rFonts w:asciiTheme="majorBidi" w:hAnsiTheme="majorBidi" w:cstheme="majorBidi"/>
          <w:sz w:val="28"/>
          <w:szCs w:val="28"/>
          <w:rtl/>
        </w:rPr>
        <w:t xml:space="preserve">فإنه </w:t>
      </w:r>
      <w:r w:rsidRPr="004C2E55">
        <w:rPr>
          <w:rFonts w:asciiTheme="majorBidi" w:hAnsiTheme="majorBidi" w:cstheme="majorBidi"/>
          <w:sz w:val="28"/>
          <w:szCs w:val="28"/>
          <w:rtl/>
        </w:rPr>
        <w:t>لم يتم تنفيذ أي من النصوص القانونية الأخرى</w:t>
      </w:r>
      <w:r w:rsidR="00F27905" w:rsidRPr="004C2E55">
        <w:rPr>
          <w:rFonts w:asciiTheme="majorBidi" w:hAnsiTheme="majorBidi" w:cstheme="majorBidi"/>
          <w:sz w:val="28"/>
          <w:szCs w:val="28"/>
          <w:rtl/>
        </w:rPr>
        <w:t>.</w:t>
      </w:r>
      <w:r w:rsidRPr="004C2E55">
        <w:rPr>
          <w:rFonts w:asciiTheme="majorBidi" w:hAnsiTheme="majorBidi" w:cstheme="majorBidi"/>
          <w:sz w:val="28"/>
          <w:szCs w:val="28"/>
        </w:rPr>
        <w:t xml:space="preserve"> </w:t>
      </w:r>
    </w:p>
    <w:p w14:paraId="2745E04F" w14:textId="0011910B" w:rsidR="00A13A51" w:rsidRPr="004C2E55" w:rsidRDefault="00F27905"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بالإضافة إلى أن</w:t>
      </w:r>
      <w:r w:rsidR="00A13A51" w:rsidRPr="004C2E55">
        <w:rPr>
          <w:rFonts w:asciiTheme="majorBidi" w:hAnsiTheme="majorBidi" w:cstheme="majorBidi"/>
          <w:sz w:val="28"/>
          <w:szCs w:val="28"/>
          <w:rtl/>
        </w:rPr>
        <w:t xml:space="preserve"> </w:t>
      </w:r>
      <w:r w:rsidRPr="004C2E55">
        <w:rPr>
          <w:rFonts w:asciiTheme="majorBidi" w:hAnsiTheme="majorBidi" w:cstheme="majorBidi"/>
          <w:sz w:val="28"/>
          <w:szCs w:val="28"/>
          <w:rtl/>
        </w:rPr>
        <w:t>الخطاب السياسي</w:t>
      </w:r>
      <w:r w:rsidR="00A13A51" w:rsidRPr="004C2E55">
        <w:rPr>
          <w:rFonts w:asciiTheme="majorBidi" w:hAnsiTheme="majorBidi" w:cstheme="majorBidi"/>
          <w:sz w:val="28"/>
          <w:szCs w:val="28"/>
          <w:rtl/>
        </w:rPr>
        <w:t xml:space="preserve"> وبعض أحكام الدستور الجديد تتناقض علنا مع هذه التطورات </w:t>
      </w:r>
      <w:r w:rsidRPr="004C2E55">
        <w:rPr>
          <w:rFonts w:asciiTheme="majorBidi" w:hAnsiTheme="majorBidi" w:cstheme="majorBidi"/>
          <w:sz w:val="28"/>
          <w:szCs w:val="28"/>
          <w:rtl/>
        </w:rPr>
        <w:t xml:space="preserve">المتعلقة بالاتفاقيات </w:t>
      </w:r>
      <w:r w:rsidR="00A13A51" w:rsidRPr="004C2E55">
        <w:rPr>
          <w:rFonts w:asciiTheme="majorBidi" w:hAnsiTheme="majorBidi" w:cstheme="majorBidi"/>
          <w:sz w:val="28"/>
          <w:szCs w:val="28"/>
          <w:rtl/>
        </w:rPr>
        <w:t>(</w:t>
      </w:r>
      <w:r w:rsidRPr="004C2E55">
        <w:rPr>
          <w:rFonts w:asciiTheme="majorBidi" w:hAnsiTheme="majorBidi" w:cstheme="majorBidi"/>
          <w:sz w:val="28"/>
          <w:szCs w:val="28"/>
          <w:rtl/>
        </w:rPr>
        <w:t xml:space="preserve">التصريح المتعلق </w:t>
      </w:r>
      <w:r w:rsidR="00A13A51" w:rsidRPr="004C2E55">
        <w:rPr>
          <w:rFonts w:asciiTheme="majorBidi" w:hAnsiTheme="majorBidi" w:cstheme="majorBidi"/>
          <w:sz w:val="28"/>
          <w:szCs w:val="28"/>
          <w:rtl/>
        </w:rPr>
        <w:t xml:space="preserve">بالمساواة في الميراث </w:t>
      </w:r>
      <w:r w:rsidRPr="004C2E55">
        <w:rPr>
          <w:rFonts w:asciiTheme="majorBidi" w:hAnsiTheme="majorBidi" w:cstheme="majorBidi"/>
          <w:sz w:val="28"/>
          <w:szCs w:val="28"/>
          <w:rtl/>
        </w:rPr>
        <w:t>والفصل</w:t>
      </w:r>
      <w:r w:rsidR="000A4493" w:rsidRPr="004C2E55">
        <w:rPr>
          <w:rFonts w:asciiTheme="majorBidi" w:hAnsiTheme="majorBidi" w:cstheme="majorBidi"/>
          <w:sz w:val="28"/>
          <w:szCs w:val="28"/>
          <w:rtl/>
        </w:rPr>
        <w:t xml:space="preserve"> 5 من دستور 2022</w:t>
      </w:r>
      <w:r w:rsidR="00A13A51" w:rsidRPr="004C2E55">
        <w:rPr>
          <w:rFonts w:asciiTheme="majorBidi" w:hAnsiTheme="majorBidi" w:cstheme="majorBidi"/>
          <w:sz w:val="28"/>
          <w:szCs w:val="28"/>
          <w:rtl/>
        </w:rPr>
        <w:t xml:space="preserve">، انظر القسم الخاص </w:t>
      </w:r>
      <w:r w:rsidR="00A70C1F" w:rsidRPr="004C2E55">
        <w:rPr>
          <w:rFonts w:asciiTheme="majorBidi" w:hAnsiTheme="majorBidi" w:cstheme="majorBidi"/>
          <w:sz w:val="28"/>
          <w:szCs w:val="28"/>
          <w:rtl/>
        </w:rPr>
        <w:t>بالمغالطات</w:t>
      </w:r>
      <w:r w:rsidR="00A13A51" w:rsidRPr="004C2E55">
        <w:rPr>
          <w:rFonts w:asciiTheme="majorBidi" w:hAnsiTheme="majorBidi" w:cstheme="majorBidi"/>
          <w:sz w:val="28"/>
          <w:szCs w:val="28"/>
          <w:rtl/>
        </w:rPr>
        <w:t>)</w:t>
      </w:r>
      <w:r w:rsidR="00F73D09" w:rsidRPr="004C2E55">
        <w:rPr>
          <w:rFonts w:asciiTheme="majorBidi" w:hAnsiTheme="majorBidi" w:cstheme="majorBidi"/>
          <w:sz w:val="28"/>
          <w:szCs w:val="28"/>
          <w:rtl/>
        </w:rPr>
        <w:t>.</w:t>
      </w:r>
    </w:p>
    <w:p w14:paraId="0BB2DB1F" w14:textId="1D799600" w:rsidR="00F73D09" w:rsidRPr="004C2E55" w:rsidRDefault="00F73D09"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 xml:space="preserve">وعلاوة على ذلك، لم تذكر الدولة من بين النصوص الدولية تلك المتعلقة بالحقوق البيئية والثقافية مما يدل على فهم </w:t>
      </w:r>
      <w:r w:rsidR="00A70C1F" w:rsidRPr="004C2E55">
        <w:rPr>
          <w:rFonts w:asciiTheme="majorBidi" w:hAnsiTheme="majorBidi" w:cstheme="majorBidi"/>
          <w:sz w:val="28"/>
          <w:szCs w:val="28"/>
          <w:rtl/>
        </w:rPr>
        <w:t>منقوص</w:t>
      </w:r>
      <w:r w:rsidRPr="004C2E55">
        <w:rPr>
          <w:rFonts w:asciiTheme="majorBidi" w:hAnsiTheme="majorBidi" w:cstheme="majorBidi"/>
          <w:sz w:val="28"/>
          <w:szCs w:val="28"/>
          <w:rtl/>
        </w:rPr>
        <w:t xml:space="preserve"> لحقوق الإنسان، لأن الدولة لا تعتبر هذه الاتفاقيات من بين اتفاقيات حقوق الإنسان! (بروتوكول </w:t>
      </w:r>
      <w:proofErr w:type="spellStart"/>
      <w:r w:rsidRPr="004C2E55">
        <w:rPr>
          <w:rFonts w:asciiTheme="majorBidi" w:hAnsiTheme="majorBidi" w:cstheme="majorBidi"/>
          <w:sz w:val="28"/>
          <w:szCs w:val="28"/>
          <w:rtl/>
        </w:rPr>
        <w:t>ناغويا</w:t>
      </w:r>
      <w:proofErr w:type="spellEnd"/>
      <w:r w:rsidRPr="004C2E55">
        <w:rPr>
          <w:rFonts w:asciiTheme="majorBidi" w:hAnsiTheme="majorBidi" w:cstheme="majorBidi"/>
          <w:sz w:val="28"/>
          <w:szCs w:val="28"/>
          <w:rtl/>
        </w:rPr>
        <w:t>، اتفاق باريس...)</w:t>
      </w:r>
    </w:p>
    <w:p w14:paraId="360B1C9F" w14:textId="77777777" w:rsidR="004E1DFA" w:rsidRPr="004C2E55" w:rsidRDefault="004E1DFA" w:rsidP="004C2E55">
      <w:pPr>
        <w:spacing w:after="0" w:line="240" w:lineRule="auto"/>
        <w:jc w:val="both"/>
        <w:rPr>
          <w:rFonts w:asciiTheme="majorBidi" w:hAnsiTheme="majorBidi" w:cstheme="majorBidi"/>
          <w:sz w:val="28"/>
          <w:szCs w:val="28"/>
        </w:rPr>
      </w:pPr>
    </w:p>
    <w:p w14:paraId="5D243CF0" w14:textId="363732FA" w:rsidR="00B514AF" w:rsidRPr="004C2E55" w:rsidRDefault="00B514AF" w:rsidP="004C2E55">
      <w:pPr>
        <w:bidi/>
        <w:spacing w:after="0" w:line="240" w:lineRule="auto"/>
        <w:jc w:val="both"/>
        <w:rPr>
          <w:rFonts w:asciiTheme="majorBidi" w:hAnsiTheme="majorBidi" w:cstheme="majorBidi"/>
          <w:b/>
          <w:bCs/>
          <w:i/>
          <w:iCs/>
          <w:sz w:val="28"/>
          <w:szCs w:val="28"/>
          <w:rtl/>
        </w:rPr>
      </w:pPr>
      <w:r w:rsidRPr="004C2E55">
        <w:rPr>
          <w:rFonts w:asciiTheme="majorBidi" w:hAnsiTheme="majorBidi" w:cstheme="majorBidi"/>
          <w:b/>
          <w:bCs/>
          <w:i/>
          <w:iCs/>
          <w:sz w:val="28"/>
          <w:szCs w:val="28"/>
          <w:rtl/>
        </w:rPr>
        <w:t>2.1. الإصلاحات التشريعية: آلية مخيبة للآمال</w:t>
      </w:r>
      <w:r w:rsidR="006669DF" w:rsidRPr="004C2E55">
        <w:rPr>
          <w:rStyle w:val="Appelnotedebasdep"/>
          <w:rFonts w:asciiTheme="majorBidi" w:hAnsiTheme="majorBidi" w:cstheme="majorBidi"/>
          <w:sz w:val="28"/>
          <w:szCs w:val="28"/>
          <w:rtl/>
        </w:rPr>
        <w:footnoteReference w:id="7"/>
      </w:r>
      <w:r w:rsidRPr="004C2E55">
        <w:rPr>
          <w:rFonts w:asciiTheme="majorBidi" w:hAnsiTheme="majorBidi" w:cstheme="majorBidi"/>
          <w:b/>
          <w:bCs/>
          <w:i/>
          <w:iCs/>
          <w:sz w:val="28"/>
          <w:szCs w:val="28"/>
          <w:rtl/>
        </w:rPr>
        <w:t xml:space="preserve"> </w:t>
      </w:r>
      <w:r w:rsidR="007E358E" w:rsidRPr="004C2E55">
        <w:rPr>
          <w:rFonts w:asciiTheme="majorBidi" w:hAnsiTheme="majorBidi" w:cstheme="majorBidi"/>
          <w:b/>
          <w:bCs/>
          <w:i/>
          <w:iCs/>
          <w:sz w:val="24"/>
          <w:szCs w:val="24"/>
          <w:highlight w:val="lightGray"/>
          <w:rtl/>
        </w:rPr>
        <w:t>(الفقرة 12)</w:t>
      </w:r>
    </w:p>
    <w:p w14:paraId="6276CE41" w14:textId="5BECF9BB" w:rsidR="00273AAD" w:rsidRPr="004C2E55" w:rsidRDefault="00747338"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يذكر التقرير ما يلي: </w:t>
      </w:r>
      <w:r w:rsidR="00273AAD" w:rsidRPr="00C524CC">
        <w:rPr>
          <w:rFonts w:asciiTheme="majorBidi" w:hAnsiTheme="majorBidi" w:cstheme="majorBidi"/>
          <w:color w:val="0070C0"/>
          <w:sz w:val="28"/>
          <w:szCs w:val="28"/>
          <w:rtl/>
        </w:rPr>
        <w:t>تم تعزيز التشريع التونسي بإصدار عدد من القوانين التي تستجيب للتوصي</w:t>
      </w:r>
      <w:r w:rsidRPr="00C524CC">
        <w:rPr>
          <w:rFonts w:asciiTheme="majorBidi" w:hAnsiTheme="majorBidi" w:cstheme="majorBidi"/>
          <w:color w:val="0070C0"/>
          <w:sz w:val="28"/>
          <w:szCs w:val="28"/>
          <w:rtl/>
        </w:rPr>
        <w:t>ات المنبثقة عن الاستعراض لس</w:t>
      </w:r>
      <w:r w:rsidR="00273AAD" w:rsidRPr="00C524CC">
        <w:rPr>
          <w:rFonts w:asciiTheme="majorBidi" w:hAnsiTheme="majorBidi" w:cstheme="majorBidi"/>
          <w:color w:val="0070C0"/>
          <w:sz w:val="28"/>
          <w:szCs w:val="28"/>
          <w:rtl/>
        </w:rPr>
        <w:t>نة 2017 مث</w:t>
      </w:r>
      <w:r w:rsidRPr="00C524CC">
        <w:rPr>
          <w:rFonts w:asciiTheme="majorBidi" w:hAnsiTheme="majorBidi" w:cstheme="majorBidi"/>
          <w:color w:val="0070C0"/>
          <w:sz w:val="28"/>
          <w:szCs w:val="28"/>
          <w:rtl/>
        </w:rPr>
        <w:t>ل مناهضة العنف ضد المرأ</w:t>
      </w:r>
      <w:r w:rsidR="00273AAD" w:rsidRPr="00C524CC">
        <w:rPr>
          <w:rFonts w:asciiTheme="majorBidi" w:hAnsiTheme="majorBidi" w:cstheme="majorBidi"/>
          <w:color w:val="0070C0"/>
          <w:sz w:val="28"/>
          <w:szCs w:val="28"/>
          <w:rtl/>
        </w:rPr>
        <w:t xml:space="preserve">ة والتمييز </w:t>
      </w:r>
      <w:r w:rsidRPr="00C524CC">
        <w:rPr>
          <w:rFonts w:asciiTheme="majorBidi" w:hAnsiTheme="majorBidi" w:cstheme="majorBidi"/>
          <w:color w:val="0070C0"/>
          <w:sz w:val="28"/>
          <w:szCs w:val="28"/>
          <w:rtl/>
        </w:rPr>
        <w:t>العنصري وتنظيم العمل المنزلي إضافة إلى اصدار القوانين التي أحدثت هيئة حقوق الإنسان وهيئة التنمية المس</w:t>
      </w:r>
      <w:r w:rsidR="00273AAD" w:rsidRPr="00C524CC">
        <w:rPr>
          <w:rFonts w:asciiTheme="majorBidi" w:hAnsiTheme="majorBidi" w:cstheme="majorBidi"/>
          <w:color w:val="0070C0"/>
          <w:sz w:val="28"/>
          <w:szCs w:val="28"/>
          <w:rtl/>
        </w:rPr>
        <w:t xml:space="preserve">تدامة </w:t>
      </w:r>
      <w:r w:rsidRPr="00C524CC">
        <w:rPr>
          <w:rFonts w:asciiTheme="majorBidi" w:hAnsiTheme="majorBidi" w:cstheme="majorBidi"/>
          <w:color w:val="0070C0"/>
          <w:sz w:val="28"/>
          <w:szCs w:val="28"/>
          <w:rtl/>
        </w:rPr>
        <w:t>وحقوق الأجيال</w:t>
      </w:r>
      <w:r w:rsidR="00273AAD" w:rsidRPr="00C524CC">
        <w:rPr>
          <w:rFonts w:asciiTheme="majorBidi" w:hAnsiTheme="majorBidi" w:cstheme="majorBidi"/>
          <w:color w:val="0070C0"/>
          <w:sz w:val="28"/>
          <w:szCs w:val="28"/>
          <w:rtl/>
        </w:rPr>
        <w:t xml:space="preserve"> القادمة</w:t>
      </w:r>
      <w:r w:rsidR="00273AAD" w:rsidRPr="004C2E55">
        <w:rPr>
          <w:rFonts w:asciiTheme="majorBidi" w:hAnsiTheme="majorBidi" w:cstheme="majorBidi"/>
          <w:sz w:val="28"/>
          <w:szCs w:val="28"/>
          <w:rtl/>
        </w:rPr>
        <w:t>.</w:t>
      </w:r>
      <w:r w:rsidRPr="004C2E55">
        <w:rPr>
          <w:rFonts w:asciiTheme="majorBidi" w:hAnsiTheme="majorBidi" w:cstheme="majorBidi"/>
          <w:sz w:val="28"/>
          <w:szCs w:val="28"/>
          <w:rtl/>
        </w:rPr>
        <w:t xml:space="preserve"> </w:t>
      </w:r>
    </w:p>
    <w:p w14:paraId="0CECFF45" w14:textId="34E57F83" w:rsidR="00CB1B4F" w:rsidRPr="004C2E55" w:rsidRDefault="00BD5E65"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وفي هذ</w:t>
      </w:r>
      <w:r w:rsidR="00D86D34" w:rsidRPr="004C2E55">
        <w:rPr>
          <w:rFonts w:asciiTheme="majorBidi" w:hAnsiTheme="majorBidi" w:cstheme="majorBidi"/>
          <w:sz w:val="28"/>
          <w:szCs w:val="28"/>
          <w:rtl/>
        </w:rPr>
        <w:t xml:space="preserve">ا الإطار، يجب التذكير بأن كل التشريعات الصادرة بين سنتي 2018 و2021 بقيت حبرا على ورق </w:t>
      </w:r>
      <w:proofErr w:type="spellStart"/>
      <w:r w:rsidR="007D11C0" w:rsidRPr="004C2E55">
        <w:rPr>
          <w:rFonts w:asciiTheme="majorBidi" w:hAnsiTheme="majorBidi" w:cstheme="majorBidi"/>
          <w:sz w:val="28"/>
          <w:szCs w:val="28"/>
          <w:rtl/>
        </w:rPr>
        <w:t>ماعدى</w:t>
      </w:r>
      <w:proofErr w:type="spellEnd"/>
      <w:r w:rsidR="00D86D34" w:rsidRPr="004C2E55">
        <w:rPr>
          <w:rFonts w:asciiTheme="majorBidi" w:hAnsiTheme="majorBidi" w:cstheme="majorBidi"/>
          <w:sz w:val="28"/>
          <w:szCs w:val="28"/>
          <w:rtl/>
        </w:rPr>
        <w:t xml:space="preserve"> </w:t>
      </w:r>
      <w:r w:rsidR="007D11C0" w:rsidRPr="004C2E55">
        <w:rPr>
          <w:rFonts w:asciiTheme="majorBidi" w:hAnsiTheme="majorBidi" w:cstheme="majorBidi"/>
          <w:sz w:val="28"/>
          <w:szCs w:val="28"/>
          <w:rtl/>
        </w:rPr>
        <w:t>ا</w:t>
      </w:r>
      <w:r w:rsidR="00D86D34" w:rsidRPr="004C2E55">
        <w:rPr>
          <w:rFonts w:asciiTheme="majorBidi" w:hAnsiTheme="majorBidi" w:cstheme="majorBidi"/>
          <w:sz w:val="28"/>
          <w:szCs w:val="28"/>
          <w:rtl/>
        </w:rPr>
        <w:t xml:space="preserve">لقانون عدد 58 المتعلق بإلغاء العنف ضد المرأة والذي </w:t>
      </w:r>
      <w:r w:rsidR="007D11C0" w:rsidRPr="004C2E55">
        <w:rPr>
          <w:rFonts w:asciiTheme="majorBidi" w:hAnsiTheme="majorBidi" w:cstheme="majorBidi"/>
          <w:sz w:val="28"/>
          <w:szCs w:val="28"/>
          <w:rtl/>
        </w:rPr>
        <w:t>تمّ</w:t>
      </w:r>
      <w:r w:rsidR="00D86D34" w:rsidRPr="004C2E55">
        <w:rPr>
          <w:rFonts w:asciiTheme="majorBidi" w:hAnsiTheme="majorBidi" w:cstheme="majorBidi"/>
          <w:sz w:val="28"/>
          <w:szCs w:val="28"/>
          <w:rtl/>
        </w:rPr>
        <w:t xml:space="preserve"> تفعيله جزئيا. </w:t>
      </w:r>
    </w:p>
    <w:p w14:paraId="7B09B9C1" w14:textId="6F9A008B" w:rsidR="00CB1B4F" w:rsidRPr="004C2E55" w:rsidRDefault="00CB1B4F"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إن الهيئات التي أنشأها دستور 2014 والتي تم اعتماد قوانينها (بين سنتي 2017 </w:t>
      </w:r>
      <w:proofErr w:type="gramStart"/>
      <w:r w:rsidRPr="004C2E55">
        <w:rPr>
          <w:rFonts w:asciiTheme="majorBidi" w:hAnsiTheme="majorBidi" w:cstheme="majorBidi"/>
          <w:sz w:val="28"/>
          <w:szCs w:val="28"/>
          <w:rtl/>
        </w:rPr>
        <w:t>و 2019</w:t>
      </w:r>
      <w:proofErr w:type="gramEnd"/>
      <w:r w:rsidRPr="004C2E55">
        <w:rPr>
          <w:rFonts w:asciiTheme="majorBidi" w:hAnsiTheme="majorBidi" w:cstheme="majorBidi"/>
          <w:sz w:val="28"/>
          <w:szCs w:val="28"/>
          <w:rtl/>
        </w:rPr>
        <w:t>) لم يتم ارساؤها بعد. خاصة منذ 25 جويلية 2021، وبعد صدور دستور 2022، اتجهت النية سياسيا نحو إلغاء الهيئات الدستورية: اذ تم الاحتفاظ فقط بهيئة الانتخابات في الدستور الجديد! وفيما يتعلق بقانون القضاء على التمييز العنصري، فإنه لا يزال ينتظر تفعيله من خلال إنشاء اللجنة الوطنية لمنع التمييز العنصري، التي لم تر النور بعد</w:t>
      </w:r>
      <w:r w:rsidRPr="004C2E55">
        <w:rPr>
          <w:rFonts w:asciiTheme="majorBidi" w:hAnsiTheme="majorBidi" w:cstheme="majorBidi"/>
          <w:sz w:val="28"/>
          <w:szCs w:val="28"/>
        </w:rPr>
        <w:t>!</w:t>
      </w:r>
    </w:p>
    <w:p w14:paraId="452797B3" w14:textId="77777777" w:rsidR="0047668B" w:rsidRPr="004C2E55" w:rsidRDefault="0047668B" w:rsidP="004C2E55">
      <w:pPr>
        <w:spacing w:after="0" w:line="240" w:lineRule="auto"/>
        <w:jc w:val="both"/>
        <w:rPr>
          <w:rFonts w:asciiTheme="majorBidi" w:hAnsiTheme="majorBidi" w:cstheme="majorBidi"/>
          <w:sz w:val="28"/>
          <w:szCs w:val="28"/>
          <w:rtl/>
        </w:rPr>
      </w:pPr>
    </w:p>
    <w:p w14:paraId="1AF38339" w14:textId="32F2CDFC" w:rsidR="0047668B" w:rsidRPr="004C2E55" w:rsidRDefault="0047668B" w:rsidP="004C2E55">
      <w:pPr>
        <w:bidi/>
        <w:spacing w:after="0" w:line="240" w:lineRule="auto"/>
        <w:jc w:val="both"/>
        <w:rPr>
          <w:rFonts w:asciiTheme="majorBidi" w:hAnsiTheme="majorBidi" w:cstheme="majorBidi"/>
          <w:b/>
          <w:bCs/>
          <w:i/>
          <w:iCs/>
          <w:sz w:val="28"/>
          <w:szCs w:val="28"/>
          <w:rtl/>
        </w:rPr>
      </w:pPr>
      <w:r w:rsidRPr="004C2E55">
        <w:rPr>
          <w:rFonts w:asciiTheme="majorBidi" w:hAnsiTheme="majorBidi" w:cstheme="majorBidi"/>
          <w:b/>
          <w:bCs/>
          <w:i/>
          <w:iCs/>
          <w:sz w:val="28"/>
          <w:szCs w:val="28"/>
          <w:rtl/>
        </w:rPr>
        <w:t xml:space="preserve">3.1. الإصلاحات على الصعيد </w:t>
      </w:r>
      <w:r w:rsidR="007D11C0" w:rsidRPr="004C2E55">
        <w:rPr>
          <w:rFonts w:asciiTheme="majorBidi" w:hAnsiTheme="majorBidi" w:cstheme="majorBidi"/>
          <w:b/>
          <w:bCs/>
          <w:i/>
          <w:iCs/>
          <w:sz w:val="28"/>
          <w:szCs w:val="28"/>
          <w:rtl/>
        </w:rPr>
        <w:t>المؤسساتي:</w:t>
      </w:r>
      <w:r w:rsidRPr="004C2E55">
        <w:rPr>
          <w:rFonts w:asciiTheme="majorBidi" w:hAnsiTheme="majorBidi" w:cstheme="majorBidi"/>
          <w:b/>
          <w:bCs/>
          <w:i/>
          <w:iCs/>
          <w:sz w:val="28"/>
          <w:szCs w:val="28"/>
          <w:rtl/>
        </w:rPr>
        <w:t xml:space="preserve"> نهاية </w:t>
      </w:r>
      <w:r w:rsidR="006669DF" w:rsidRPr="004C2E55">
        <w:rPr>
          <w:rFonts w:asciiTheme="majorBidi" w:hAnsiTheme="majorBidi" w:cstheme="majorBidi"/>
          <w:b/>
          <w:bCs/>
          <w:i/>
          <w:iCs/>
          <w:sz w:val="28"/>
          <w:szCs w:val="28"/>
          <w:rtl/>
        </w:rPr>
        <w:t>الاستقلالية</w:t>
      </w:r>
      <w:r w:rsidR="006669DF" w:rsidRPr="004C2E55">
        <w:rPr>
          <w:rStyle w:val="Appelnotedebasdep"/>
          <w:rFonts w:asciiTheme="majorBidi" w:hAnsiTheme="majorBidi" w:cstheme="majorBidi"/>
          <w:sz w:val="28"/>
          <w:szCs w:val="28"/>
          <w:rtl/>
        </w:rPr>
        <w:footnoteReference w:id="8"/>
      </w:r>
      <w:r w:rsidRPr="004C2E55">
        <w:rPr>
          <w:rFonts w:asciiTheme="majorBidi" w:hAnsiTheme="majorBidi" w:cstheme="majorBidi"/>
          <w:b/>
          <w:bCs/>
          <w:i/>
          <w:iCs/>
          <w:sz w:val="24"/>
          <w:szCs w:val="24"/>
          <w:rtl/>
        </w:rPr>
        <w:t xml:space="preserve"> </w:t>
      </w:r>
      <w:r w:rsidRPr="004C2E55">
        <w:rPr>
          <w:rFonts w:asciiTheme="majorBidi" w:hAnsiTheme="majorBidi" w:cstheme="majorBidi"/>
          <w:b/>
          <w:bCs/>
          <w:i/>
          <w:iCs/>
          <w:sz w:val="24"/>
          <w:szCs w:val="24"/>
          <w:highlight w:val="lightGray"/>
          <w:rtl/>
        </w:rPr>
        <w:t>(الفقرات من 16- 29)</w:t>
      </w:r>
    </w:p>
    <w:p w14:paraId="2E65CC58" w14:textId="3E7AAE3C" w:rsidR="00D91F9B" w:rsidRPr="004C2E55" w:rsidRDefault="003F49DC"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استغل تقرير الاستعراض الدوري الشامل الإصلاحات المؤسساتية ليجعل منها مصدرا لتثمين الإنجازات إلا أنه وفي نفس الوقت لم تقدم الدولة التونسية سوى معلومات </w:t>
      </w:r>
      <w:r w:rsidR="007D11C0" w:rsidRPr="004C2E55">
        <w:rPr>
          <w:rFonts w:asciiTheme="majorBidi" w:hAnsiTheme="majorBidi" w:cstheme="majorBidi"/>
          <w:sz w:val="28"/>
          <w:szCs w:val="28"/>
          <w:rtl/>
        </w:rPr>
        <w:t>منقوصة</w:t>
      </w:r>
      <w:r w:rsidRPr="004C2E55">
        <w:rPr>
          <w:rFonts w:asciiTheme="majorBidi" w:hAnsiTheme="majorBidi" w:cstheme="majorBidi"/>
          <w:sz w:val="28"/>
          <w:szCs w:val="28"/>
          <w:rtl/>
        </w:rPr>
        <w:t xml:space="preserve"> كما لم تقدم الحقائق كاملة.</w:t>
      </w:r>
    </w:p>
    <w:p w14:paraId="26B778C6" w14:textId="77777777" w:rsidR="006D00E4" w:rsidRPr="004C2E55" w:rsidRDefault="006D00E4" w:rsidP="004C2E55">
      <w:pPr>
        <w:bidi/>
        <w:spacing w:after="0" w:line="240" w:lineRule="auto"/>
        <w:jc w:val="both"/>
        <w:rPr>
          <w:rFonts w:asciiTheme="majorBidi" w:hAnsiTheme="majorBidi" w:cstheme="majorBidi"/>
          <w:sz w:val="28"/>
          <w:szCs w:val="28"/>
          <w:rtl/>
        </w:rPr>
      </w:pPr>
    </w:p>
    <w:p w14:paraId="3B910C6C" w14:textId="74395893" w:rsidR="00D91F9B" w:rsidRPr="004C2E55" w:rsidRDefault="00D91F9B"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Pr>
        <w:t xml:space="preserve">- </w:t>
      </w:r>
      <w:r w:rsidRPr="004C2E55">
        <w:rPr>
          <w:rFonts w:asciiTheme="majorBidi" w:hAnsiTheme="majorBidi" w:cstheme="majorBidi"/>
          <w:i/>
          <w:iCs/>
          <w:sz w:val="28"/>
          <w:szCs w:val="28"/>
          <w:rtl/>
        </w:rPr>
        <w:t xml:space="preserve">الهيئات </w:t>
      </w:r>
      <w:r w:rsidR="007D11C0" w:rsidRPr="004C2E55">
        <w:rPr>
          <w:rFonts w:asciiTheme="majorBidi" w:hAnsiTheme="majorBidi" w:cstheme="majorBidi"/>
          <w:i/>
          <w:iCs/>
          <w:sz w:val="28"/>
          <w:szCs w:val="28"/>
          <w:rtl/>
        </w:rPr>
        <w:t>الدستورية</w:t>
      </w:r>
      <w:r w:rsidR="007D11C0" w:rsidRPr="004C2E55">
        <w:rPr>
          <w:rFonts w:asciiTheme="majorBidi" w:hAnsiTheme="majorBidi" w:cstheme="majorBidi"/>
          <w:sz w:val="28"/>
          <w:szCs w:val="28"/>
        </w:rPr>
        <w:t xml:space="preserve"> :</w:t>
      </w:r>
    </w:p>
    <w:p w14:paraId="3DC5B8A5" w14:textId="6A005E3B" w:rsidR="00D91F9B" w:rsidRPr="004C2E55" w:rsidRDefault="00D91F9B" w:rsidP="004C2E55">
      <w:pPr>
        <w:bidi/>
        <w:spacing w:after="0" w:line="240" w:lineRule="auto"/>
        <w:jc w:val="both"/>
        <w:rPr>
          <w:rFonts w:asciiTheme="majorBidi" w:hAnsiTheme="majorBidi" w:cstheme="majorBidi"/>
          <w:sz w:val="28"/>
          <w:szCs w:val="28"/>
          <w:rtl/>
        </w:rPr>
      </w:pPr>
      <w:r w:rsidRPr="00C524CC">
        <w:rPr>
          <w:rFonts w:asciiTheme="majorBidi" w:hAnsiTheme="majorBidi" w:cstheme="majorBidi"/>
          <w:color w:val="0070C0"/>
          <w:sz w:val="28"/>
          <w:szCs w:val="28"/>
          <w:rtl/>
        </w:rPr>
        <w:t>يشير التقرير إلى المساهمة الكبيرة للدستور من حيث</w:t>
      </w:r>
      <w:r w:rsidR="006D00E4" w:rsidRPr="00C524CC">
        <w:rPr>
          <w:rFonts w:asciiTheme="majorBidi" w:hAnsiTheme="majorBidi" w:cstheme="majorBidi"/>
          <w:color w:val="0070C0"/>
          <w:sz w:val="28"/>
          <w:szCs w:val="28"/>
          <w:rtl/>
        </w:rPr>
        <w:t xml:space="preserve"> تنصيصه على انشاء</w:t>
      </w:r>
      <w:r w:rsidRPr="00C524CC">
        <w:rPr>
          <w:rFonts w:asciiTheme="majorBidi" w:hAnsiTheme="majorBidi" w:cstheme="majorBidi"/>
          <w:color w:val="0070C0"/>
          <w:sz w:val="28"/>
          <w:szCs w:val="28"/>
          <w:rtl/>
        </w:rPr>
        <w:t xml:space="preserve"> المحكمة </w:t>
      </w:r>
      <w:r w:rsidR="006D00E4" w:rsidRPr="00C524CC">
        <w:rPr>
          <w:rFonts w:asciiTheme="majorBidi" w:hAnsiTheme="majorBidi" w:cstheme="majorBidi"/>
          <w:color w:val="0070C0"/>
          <w:sz w:val="28"/>
          <w:szCs w:val="28"/>
          <w:rtl/>
        </w:rPr>
        <w:t xml:space="preserve">الدستورية </w:t>
      </w:r>
      <w:r w:rsidRPr="00C524CC">
        <w:rPr>
          <w:rFonts w:asciiTheme="majorBidi" w:hAnsiTheme="majorBidi" w:cstheme="majorBidi"/>
          <w:color w:val="0070C0"/>
          <w:sz w:val="28"/>
          <w:szCs w:val="28"/>
          <w:rtl/>
        </w:rPr>
        <w:t>والهيئات الدستورية</w:t>
      </w:r>
      <w:r w:rsidRPr="004C2E55">
        <w:rPr>
          <w:rFonts w:asciiTheme="majorBidi" w:hAnsiTheme="majorBidi" w:cstheme="majorBidi"/>
          <w:sz w:val="28"/>
          <w:szCs w:val="28"/>
          <w:rtl/>
        </w:rPr>
        <w:t xml:space="preserve">، </w:t>
      </w:r>
      <w:r w:rsidR="006D00E4" w:rsidRPr="004C2E55">
        <w:rPr>
          <w:rFonts w:asciiTheme="majorBidi" w:hAnsiTheme="majorBidi" w:cstheme="majorBidi"/>
          <w:sz w:val="28"/>
          <w:szCs w:val="28"/>
          <w:rtl/>
        </w:rPr>
        <w:t xml:space="preserve">إلا أنه </w:t>
      </w:r>
      <w:r w:rsidRPr="004C2E55">
        <w:rPr>
          <w:rFonts w:asciiTheme="majorBidi" w:hAnsiTheme="majorBidi" w:cstheme="majorBidi"/>
          <w:sz w:val="28"/>
          <w:szCs w:val="28"/>
          <w:rtl/>
        </w:rPr>
        <w:t xml:space="preserve">يخفي حقيقة أنه من بين الهيئات الخمس التي أنشأها دستور 2014، </w:t>
      </w:r>
      <w:r w:rsidR="006D00E4" w:rsidRPr="004C2E55">
        <w:rPr>
          <w:rFonts w:asciiTheme="majorBidi" w:hAnsiTheme="majorBidi" w:cstheme="majorBidi"/>
          <w:sz w:val="28"/>
          <w:szCs w:val="28"/>
          <w:rtl/>
        </w:rPr>
        <w:t>أبقى</w:t>
      </w:r>
      <w:r w:rsidRPr="004C2E55">
        <w:rPr>
          <w:rFonts w:asciiTheme="majorBidi" w:hAnsiTheme="majorBidi" w:cstheme="majorBidi"/>
          <w:sz w:val="28"/>
          <w:szCs w:val="28"/>
          <w:rtl/>
        </w:rPr>
        <w:t xml:space="preserve"> الدستور الجديد </w:t>
      </w:r>
      <w:r w:rsidR="006D00E4" w:rsidRPr="004C2E55">
        <w:rPr>
          <w:rFonts w:asciiTheme="majorBidi" w:hAnsiTheme="majorBidi" w:cstheme="majorBidi"/>
          <w:sz w:val="28"/>
          <w:szCs w:val="28"/>
          <w:rtl/>
        </w:rPr>
        <w:t xml:space="preserve">الصادر سنة 2022 على </w:t>
      </w:r>
      <w:r w:rsidRPr="004C2E55">
        <w:rPr>
          <w:rFonts w:asciiTheme="majorBidi" w:hAnsiTheme="majorBidi" w:cstheme="majorBidi"/>
          <w:sz w:val="28"/>
          <w:szCs w:val="28"/>
          <w:rtl/>
        </w:rPr>
        <w:t>هيئة واحدة فقط، وأن القوانين المتعلقة بهذه الهيئات (</w:t>
      </w:r>
      <w:r w:rsidR="006D00E4" w:rsidRPr="004C2E55">
        <w:rPr>
          <w:rFonts w:asciiTheme="majorBidi" w:hAnsiTheme="majorBidi" w:cstheme="majorBidi"/>
          <w:sz w:val="28"/>
          <w:szCs w:val="28"/>
          <w:rtl/>
        </w:rPr>
        <w:t>والصادرة</w:t>
      </w:r>
      <w:r w:rsidRPr="004C2E55">
        <w:rPr>
          <w:rFonts w:asciiTheme="majorBidi" w:hAnsiTheme="majorBidi" w:cstheme="majorBidi"/>
          <w:sz w:val="28"/>
          <w:szCs w:val="28"/>
          <w:rtl/>
        </w:rPr>
        <w:t xml:space="preserve"> بين </w:t>
      </w:r>
      <w:r w:rsidR="006D00E4" w:rsidRPr="004C2E55">
        <w:rPr>
          <w:rFonts w:asciiTheme="majorBidi" w:hAnsiTheme="majorBidi" w:cstheme="majorBidi"/>
          <w:sz w:val="28"/>
          <w:szCs w:val="28"/>
          <w:rtl/>
        </w:rPr>
        <w:t>سنتي</w:t>
      </w:r>
      <w:r w:rsidRPr="004C2E55">
        <w:rPr>
          <w:rFonts w:asciiTheme="majorBidi" w:hAnsiTheme="majorBidi" w:cstheme="majorBidi"/>
          <w:sz w:val="28"/>
          <w:szCs w:val="28"/>
          <w:rtl/>
        </w:rPr>
        <w:t xml:space="preserve"> </w:t>
      </w:r>
      <w:r w:rsidR="006D00E4" w:rsidRPr="004C2E55">
        <w:rPr>
          <w:rFonts w:asciiTheme="majorBidi" w:hAnsiTheme="majorBidi" w:cstheme="majorBidi"/>
          <w:sz w:val="28"/>
          <w:szCs w:val="28"/>
          <w:rtl/>
        </w:rPr>
        <w:t>2017 و2019) لم تعد نافذة</w:t>
      </w:r>
      <w:r w:rsidRPr="004C2E55">
        <w:rPr>
          <w:rFonts w:asciiTheme="majorBidi" w:hAnsiTheme="majorBidi" w:cstheme="majorBidi"/>
          <w:sz w:val="28"/>
          <w:szCs w:val="28"/>
          <w:rtl/>
        </w:rPr>
        <w:t xml:space="preserve"> لأنها تتع</w:t>
      </w:r>
      <w:r w:rsidR="006D00E4" w:rsidRPr="004C2E55">
        <w:rPr>
          <w:rFonts w:asciiTheme="majorBidi" w:hAnsiTheme="majorBidi" w:cstheme="majorBidi"/>
          <w:sz w:val="28"/>
          <w:szCs w:val="28"/>
          <w:rtl/>
        </w:rPr>
        <w:t>ارض مع بعض أحكام الدستور الجديد.</w:t>
      </w:r>
    </w:p>
    <w:p w14:paraId="47D20E56" w14:textId="77777777" w:rsidR="00096A82" w:rsidRPr="004C2E55" w:rsidRDefault="00096A82" w:rsidP="004C2E55">
      <w:pPr>
        <w:spacing w:after="0" w:line="240" w:lineRule="auto"/>
        <w:jc w:val="both"/>
        <w:rPr>
          <w:rFonts w:asciiTheme="majorBidi" w:hAnsiTheme="majorBidi" w:cstheme="majorBidi"/>
          <w:sz w:val="28"/>
          <w:szCs w:val="28"/>
          <w:rtl/>
        </w:rPr>
      </w:pPr>
    </w:p>
    <w:p w14:paraId="21DBC35E" w14:textId="77777777" w:rsidR="007D7BD2" w:rsidRPr="004C2E55" w:rsidRDefault="007D7BD2" w:rsidP="004C2E55">
      <w:pPr>
        <w:bidi/>
        <w:spacing w:after="0" w:line="240" w:lineRule="auto"/>
        <w:jc w:val="both"/>
        <w:rPr>
          <w:rFonts w:asciiTheme="majorBidi" w:hAnsiTheme="majorBidi" w:cstheme="majorBidi"/>
          <w:i/>
          <w:iCs/>
          <w:sz w:val="28"/>
          <w:szCs w:val="28"/>
        </w:rPr>
      </w:pPr>
      <w:r w:rsidRPr="004C2E55">
        <w:rPr>
          <w:rFonts w:asciiTheme="majorBidi" w:hAnsiTheme="majorBidi" w:cstheme="majorBidi"/>
          <w:i/>
          <w:iCs/>
          <w:sz w:val="28"/>
          <w:szCs w:val="28"/>
          <w:rtl/>
        </w:rPr>
        <w:t>- المحكمة الدستورية:</w:t>
      </w:r>
    </w:p>
    <w:p w14:paraId="6158CDC4" w14:textId="30229C39" w:rsidR="007D7BD2" w:rsidRPr="004C2E55" w:rsidRDefault="007D7BD2"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أصبح قانون 2015 </w:t>
      </w:r>
      <w:r w:rsidR="007D11C0" w:rsidRPr="004C2E55">
        <w:rPr>
          <w:rFonts w:asciiTheme="majorBidi" w:hAnsiTheme="majorBidi" w:cstheme="majorBidi"/>
          <w:sz w:val="28"/>
          <w:szCs w:val="28"/>
          <w:rtl/>
        </w:rPr>
        <w:t xml:space="preserve">المتعلق بالمحكمة الدستورية </w:t>
      </w:r>
      <w:r w:rsidRPr="004C2E55">
        <w:rPr>
          <w:rFonts w:asciiTheme="majorBidi" w:hAnsiTheme="majorBidi" w:cstheme="majorBidi"/>
          <w:sz w:val="28"/>
          <w:szCs w:val="28"/>
          <w:rtl/>
        </w:rPr>
        <w:t>في طي النسيان بعد اعتماد دستور 20</w:t>
      </w:r>
      <w:r w:rsidR="00A3779D" w:rsidRPr="004C2E55">
        <w:rPr>
          <w:rFonts w:asciiTheme="majorBidi" w:hAnsiTheme="majorBidi" w:cstheme="majorBidi"/>
          <w:sz w:val="28"/>
          <w:szCs w:val="28"/>
          <w:rtl/>
        </w:rPr>
        <w:t>22</w:t>
      </w:r>
      <w:r w:rsidRPr="004C2E55">
        <w:rPr>
          <w:rFonts w:asciiTheme="majorBidi" w:hAnsiTheme="majorBidi" w:cstheme="majorBidi"/>
          <w:sz w:val="28"/>
          <w:szCs w:val="28"/>
          <w:rtl/>
        </w:rPr>
        <w:t>، الذي ينص على نظام قانوني وتركيبة تختلفان تماما عن دستور 2014 وقانون 2015.</w:t>
      </w:r>
    </w:p>
    <w:p w14:paraId="26DACBBF" w14:textId="77777777" w:rsidR="007D7BD2" w:rsidRPr="004C2E55" w:rsidRDefault="007D7BD2" w:rsidP="004C2E55">
      <w:pPr>
        <w:spacing w:after="0" w:line="240" w:lineRule="auto"/>
        <w:jc w:val="both"/>
        <w:rPr>
          <w:rFonts w:asciiTheme="majorBidi" w:hAnsiTheme="majorBidi" w:cstheme="majorBidi"/>
          <w:sz w:val="28"/>
          <w:szCs w:val="28"/>
        </w:rPr>
      </w:pPr>
    </w:p>
    <w:p w14:paraId="0108BB28" w14:textId="7B19FED5" w:rsidR="00276A09" w:rsidRPr="004C2E55" w:rsidRDefault="00276A09"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sz w:val="28"/>
          <w:szCs w:val="28"/>
          <w:rtl/>
        </w:rPr>
        <w:t>-</w:t>
      </w:r>
      <w:r w:rsidRPr="004C2E55">
        <w:rPr>
          <w:rFonts w:asciiTheme="majorBidi" w:hAnsiTheme="majorBidi" w:cstheme="majorBidi"/>
          <w:i/>
          <w:iCs/>
          <w:sz w:val="28"/>
          <w:szCs w:val="28"/>
          <w:rtl/>
        </w:rPr>
        <w:t>المجلس الأعلى للقضاء</w:t>
      </w:r>
    </w:p>
    <w:p w14:paraId="1668F942" w14:textId="59ECA9FB" w:rsidR="00F802B3" w:rsidRPr="004C2E55" w:rsidRDefault="00276A09"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يتطرق التقرير إلى الإصلاحات الأخيرة </w:t>
      </w:r>
      <w:r w:rsidR="007D11C0" w:rsidRPr="004C2E55">
        <w:rPr>
          <w:rFonts w:asciiTheme="majorBidi" w:hAnsiTheme="majorBidi" w:cstheme="majorBidi"/>
          <w:sz w:val="28"/>
          <w:szCs w:val="28"/>
          <w:rtl/>
        </w:rPr>
        <w:t>"</w:t>
      </w:r>
      <w:r w:rsidRPr="004C2E55">
        <w:rPr>
          <w:rFonts w:asciiTheme="majorBidi" w:hAnsiTheme="majorBidi" w:cstheme="majorBidi"/>
          <w:sz w:val="28"/>
          <w:szCs w:val="28"/>
          <w:rtl/>
        </w:rPr>
        <w:t>والتي تحققت</w:t>
      </w:r>
      <w:r w:rsidR="007D11C0" w:rsidRPr="004C2E55">
        <w:rPr>
          <w:rFonts w:asciiTheme="majorBidi" w:hAnsiTheme="majorBidi" w:cstheme="majorBidi"/>
          <w:sz w:val="28"/>
          <w:szCs w:val="28"/>
          <w:rtl/>
        </w:rPr>
        <w:t>"</w:t>
      </w:r>
      <w:r w:rsidRPr="004C2E55">
        <w:rPr>
          <w:rFonts w:asciiTheme="majorBidi" w:hAnsiTheme="majorBidi" w:cstheme="majorBidi"/>
          <w:sz w:val="28"/>
          <w:szCs w:val="28"/>
          <w:rtl/>
        </w:rPr>
        <w:t xml:space="preserve"> سنة 2022 بطريقة وصفية ومن دون تقديم أي تحليل.</w:t>
      </w:r>
    </w:p>
    <w:p w14:paraId="3041DEAB" w14:textId="6DB66AFF" w:rsidR="00F802B3" w:rsidRPr="00C524CC" w:rsidRDefault="00276A09" w:rsidP="004C2E55">
      <w:pPr>
        <w:bidi/>
        <w:spacing w:after="0" w:line="240" w:lineRule="auto"/>
        <w:jc w:val="both"/>
        <w:rPr>
          <w:rFonts w:asciiTheme="majorBidi" w:hAnsiTheme="majorBidi" w:cstheme="majorBidi"/>
          <w:color w:val="0070C0"/>
          <w:sz w:val="28"/>
          <w:szCs w:val="28"/>
          <w:rtl/>
        </w:rPr>
      </w:pPr>
      <w:r w:rsidRPr="004C2E55">
        <w:rPr>
          <w:rFonts w:asciiTheme="majorBidi" w:hAnsiTheme="majorBidi" w:cstheme="majorBidi"/>
          <w:sz w:val="28"/>
          <w:szCs w:val="28"/>
          <w:rtl/>
        </w:rPr>
        <w:lastRenderedPageBreak/>
        <w:t>"</w:t>
      </w:r>
      <w:r w:rsidR="00D650B3" w:rsidRPr="00C524CC">
        <w:rPr>
          <w:rFonts w:asciiTheme="majorBidi" w:hAnsiTheme="majorBidi" w:cstheme="majorBidi"/>
          <w:color w:val="0070C0"/>
          <w:sz w:val="28"/>
          <w:szCs w:val="28"/>
          <w:rtl/>
        </w:rPr>
        <w:t>تمت اعادة تنظيم المجلس الأعلى للقضاء من خلال المرسوم عدد 11 لسنة 2022 المتعلق بإحداث المجلس الأعلى المؤقت للقضاء والأمر الرئاسي عدد 217 لسنة 2022 المتعلق بتسمية أعضاء بالمجالس المؤقتة للقضاء</w:t>
      </w:r>
      <w:r w:rsidR="00703D80" w:rsidRPr="00C524CC">
        <w:rPr>
          <w:rFonts w:asciiTheme="majorBidi" w:hAnsiTheme="majorBidi" w:cstheme="majorBidi"/>
          <w:color w:val="0070C0"/>
          <w:sz w:val="28"/>
          <w:szCs w:val="28"/>
          <w:rtl/>
        </w:rPr>
        <w:t>.</w:t>
      </w:r>
    </w:p>
    <w:p w14:paraId="6A082667" w14:textId="15BE7CF7" w:rsidR="00F802B3" w:rsidRPr="004C2E55" w:rsidRDefault="00276A09" w:rsidP="004C2E55">
      <w:pPr>
        <w:bidi/>
        <w:spacing w:after="0" w:line="240" w:lineRule="auto"/>
        <w:jc w:val="both"/>
        <w:rPr>
          <w:rFonts w:asciiTheme="majorBidi" w:hAnsiTheme="majorBidi" w:cstheme="majorBidi"/>
          <w:sz w:val="28"/>
          <w:szCs w:val="28"/>
          <w:rtl/>
        </w:rPr>
      </w:pPr>
      <w:r w:rsidRPr="00C524CC">
        <w:rPr>
          <w:rFonts w:asciiTheme="majorBidi" w:hAnsiTheme="majorBidi" w:cstheme="majorBidi"/>
          <w:color w:val="0070C0"/>
          <w:sz w:val="28"/>
          <w:szCs w:val="28"/>
          <w:rtl/>
        </w:rPr>
        <w:t>وص</w:t>
      </w:r>
      <w:r w:rsidR="00703D80" w:rsidRPr="00C524CC">
        <w:rPr>
          <w:rFonts w:asciiTheme="majorBidi" w:hAnsiTheme="majorBidi" w:cstheme="majorBidi"/>
          <w:color w:val="0070C0"/>
          <w:sz w:val="28"/>
          <w:szCs w:val="28"/>
          <w:rtl/>
        </w:rPr>
        <w:t>در المرسوم عدد 35 لسنة 2022</w:t>
      </w:r>
      <w:r w:rsidRPr="00C524CC">
        <w:rPr>
          <w:rFonts w:asciiTheme="majorBidi" w:hAnsiTheme="majorBidi" w:cstheme="majorBidi"/>
          <w:color w:val="0070C0"/>
          <w:sz w:val="28"/>
          <w:szCs w:val="28"/>
          <w:rtl/>
        </w:rPr>
        <w:t xml:space="preserve"> المؤرّخ في </w:t>
      </w:r>
      <w:r w:rsidR="007D11C0" w:rsidRPr="00C524CC">
        <w:rPr>
          <w:rFonts w:asciiTheme="majorBidi" w:hAnsiTheme="majorBidi" w:cstheme="majorBidi"/>
          <w:color w:val="0070C0"/>
          <w:sz w:val="28"/>
          <w:szCs w:val="28"/>
          <w:rtl/>
        </w:rPr>
        <w:t>الاول</w:t>
      </w:r>
      <w:r w:rsidRPr="00C524CC">
        <w:rPr>
          <w:rFonts w:asciiTheme="majorBidi" w:hAnsiTheme="majorBidi" w:cstheme="majorBidi"/>
          <w:color w:val="0070C0"/>
          <w:sz w:val="28"/>
          <w:szCs w:val="28"/>
          <w:rtl/>
        </w:rPr>
        <w:t xml:space="preserve"> جوان 2022 المت</w:t>
      </w:r>
      <w:r w:rsidRPr="00C524CC">
        <w:rPr>
          <w:rFonts w:asciiTheme="majorBidi" w:hAnsiTheme="majorBidi" w:cstheme="majorBidi"/>
          <w:color w:val="0070C0"/>
          <w:sz w:val="28"/>
          <w:szCs w:val="28"/>
          <w:rtl/>
          <w:lang w:bidi="ar-TN"/>
        </w:rPr>
        <w:t>ع</w:t>
      </w:r>
      <w:r w:rsidR="00703D80" w:rsidRPr="00C524CC">
        <w:rPr>
          <w:rFonts w:asciiTheme="majorBidi" w:hAnsiTheme="majorBidi" w:cstheme="majorBidi"/>
          <w:color w:val="0070C0"/>
          <w:sz w:val="28"/>
          <w:szCs w:val="28"/>
          <w:rtl/>
        </w:rPr>
        <w:t>ل</w:t>
      </w:r>
      <w:r w:rsidRPr="00C524CC">
        <w:rPr>
          <w:rFonts w:asciiTheme="majorBidi" w:hAnsiTheme="majorBidi" w:cstheme="majorBidi"/>
          <w:color w:val="0070C0"/>
          <w:sz w:val="28"/>
          <w:szCs w:val="28"/>
          <w:rtl/>
        </w:rPr>
        <w:t>ق بإتمام المرس</w:t>
      </w:r>
      <w:r w:rsidR="00703D80" w:rsidRPr="00C524CC">
        <w:rPr>
          <w:rFonts w:asciiTheme="majorBidi" w:hAnsiTheme="majorBidi" w:cstheme="majorBidi"/>
          <w:color w:val="0070C0"/>
          <w:sz w:val="28"/>
          <w:szCs w:val="28"/>
          <w:rtl/>
        </w:rPr>
        <w:t>وم</w:t>
      </w:r>
      <w:r w:rsidRPr="00C524CC">
        <w:rPr>
          <w:rFonts w:asciiTheme="majorBidi" w:hAnsiTheme="majorBidi" w:cstheme="majorBidi"/>
          <w:color w:val="0070C0"/>
          <w:sz w:val="28"/>
          <w:szCs w:val="28"/>
          <w:rtl/>
        </w:rPr>
        <w:t xml:space="preserve"> </w:t>
      </w:r>
      <w:r w:rsidR="00703D80" w:rsidRPr="00C524CC">
        <w:rPr>
          <w:rFonts w:asciiTheme="majorBidi" w:hAnsiTheme="majorBidi" w:cstheme="majorBidi"/>
          <w:color w:val="0070C0"/>
          <w:sz w:val="28"/>
          <w:szCs w:val="28"/>
          <w:rtl/>
        </w:rPr>
        <w:t xml:space="preserve">عدد 11 </w:t>
      </w:r>
      <w:r w:rsidRPr="00C524CC">
        <w:rPr>
          <w:rFonts w:asciiTheme="majorBidi" w:hAnsiTheme="majorBidi" w:cstheme="majorBidi"/>
          <w:color w:val="0070C0"/>
          <w:sz w:val="28"/>
          <w:szCs w:val="28"/>
          <w:rtl/>
        </w:rPr>
        <w:t>لسنة</w:t>
      </w:r>
      <w:r w:rsidR="00703D80" w:rsidRPr="00C524CC">
        <w:rPr>
          <w:rFonts w:asciiTheme="majorBidi" w:hAnsiTheme="majorBidi" w:cstheme="majorBidi"/>
          <w:color w:val="0070C0"/>
          <w:sz w:val="28"/>
          <w:szCs w:val="28"/>
          <w:rtl/>
        </w:rPr>
        <w:t xml:space="preserve"> 2022 المؤرخ في 12 فيفر 2022 </w:t>
      </w:r>
      <w:r w:rsidRPr="00C524CC">
        <w:rPr>
          <w:rFonts w:asciiTheme="majorBidi" w:hAnsiTheme="majorBidi" w:cstheme="majorBidi"/>
          <w:color w:val="0070C0"/>
          <w:sz w:val="28"/>
          <w:szCs w:val="28"/>
          <w:rtl/>
        </w:rPr>
        <w:t>المتعلق</w:t>
      </w:r>
      <w:r w:rsidR="00703D80" w:rsidRPr="00C524CC">
        <w:rPr>
          <w:rFonts w:asciiTheme="majorBidi" w:hAnsiTheme="majorBidi" w:cstheme="majorBidi"/>
          <w:color w:val="0070C0"/>
          <w:sz w:val="28"/>
          <w:szCs w:val="28"/>
          <w:rtl/>
        </w:rPr>
        <w:t xml:space="preserve"> بإحد</w:t>
      </w:r>
      <w:r w:rsidRPr="00C524CC">
        <w:rPr>
          <w:rFonts w:asciiTheme="majorBidi" w:hAnsiTheme="majorBidi" w:cstheme="majorBidi"/>
          <w:color w:val="0070C0"/>
          <w:sz w:val="28"/>
          <w:szCs w:val="28"/>
          <w:rtl/>
        </w:rPr>
        <w:t>اث المجلس الأعلى المؤقت للقض</w:t>
      </w:r>
      <w:r w:rsidR="000A4493" w:rsidRPr="00C524CC">
        <w:rPr>
          <w:rFonts w:asciiTheme="majorBidi" w:hAnsiTheme="majorBidi" w:cstheme="majorBidi"/>
          <w:color w:val="0070C0"/>
          <w:sz w:val="28"/>
          <w:szCs w:val="28"/>
          <w:rtl/>
        </w:rPr>
        <w:t>ا</w:t>
      </w:r>
      <w:r w:rsidR="00703D80" w:rsidRPr="00C524CC">
        <w:rPr>
          <w:rFonts w:asciiTheme="majorBidi" w:hAnsiTheme="majorBidi" w:cstheme="majorBidi"/>
          <w:color w:val="0070C0"/>
          <w:sz w:val="28"/>
          <w:szCs w:val="28"/>
          <w:rtl/>
        </w:rPr>
        <w:t>ء.</w:t>
      </w:r>
      <w:r w:rsidRPr="00C524CC">
        <w:rPr>
          <w:rFonts w:asciiTheme="majorBidi" w:hAnsiTheme="majorBidi" w:cstheme="majorBidi"/>
          <w:color w:val="0070C0"/>
          <w:sz w:val="28"/>
          <w:szCs w:val="28"/>
          <w:rtl/>
        </w:rPr>
        <w:t xml:space="preserve"> وتضمن الب</w:t>
      </w:r>
      <w:r w:rsidR="00703D80" w:rsidRPr="00C524CC">
        <w:rPr>
          <w:rFonts w:asciiTheme="majorBidi" w:hAnsiTheme="majorBidi" w:cstheme="majorBidi"/>
          <w:color w:val="0070C0"/>
          <w:sz w:val="28"/>
          <w:szCs w:val="28"/>
          <w:rtl/>
        </w:rPr>
        <w:t>اب ال</w:t>
      </w:r>
      <w:r w:rsidRPr="00C524CC">
        <w:rPr>
          <w:rFonts w:asciiTheme="majorBidi" w:hAnsiTheme="majorBidi" w:cstheme="majorBidi"/>
          <w:color w:val="0070C0"/>
          <w:sz w:val="28"/>
          <w:szCs w:val="28"/>
          <w:rtl/>
        </w:rPr>
        <w:t>رابع من الدستور الجدي</w:t>
      </w:r>
      <w:r w:rsidR="00703D80" w:rsidRPr="00C524CC">
        <w:rPr>
          <w:rFonts w:asciiTheme="majorBidi" w:hAnsiTheme="majorBidi" w:cstheme="majorBidi"/>
          <w:color w:val="0070C0"/>
          <w:sz w:val="28"/>
          <w:szCs w:val="28"/>
          <w:rtl/>
        </w:rPr>
        <w:t xml:space="preserve">د بابا </w:t>
      </w:r>
      <w:r w:rsidRPr="00C524CC">
        <w:rPr>
          <w:rFonts w:asciiTheme="majorBidi" w:hAnsiTheme="majorBidi" w:cstheme="majorBidi"/>
          <w:color w:val="0070C0"/>
          <w:sz w:val="28"/>
          <w:szCs w:val="28"/>
          <w:rtl/>
        </w:rPr>
        <w:t>يتعلق</w:t>
      </w:r>
      <w:r w:rsidR="00703D80" w:rsidRPr="00C524CC">
        <w:rPr>
          <w:rFonts w:asciiTheme="majorBidi" w:hAnsiTheme="majorBidi" w:cstheme="majorBidi"/>
          <w:color w:val="0070C0"/>
          <w:sz w:val="28"/>
          <w:szCs w:val="28"/>
          <w:rtl/>
        </w:rPr>
        <w:t xml:space="preserve"> بالوظيفة القضائيّة بجميع اصنافها</w:t>
      </w:r>
      <w:r w:rsidR="00703D80" w:rsidRPr="004C2E55">
        <w:rPr>
          <w:rFonts w:asciiTheme="majorBidi" w:hAnsiTheme="majorBidi" w:cstheme="majorBidi"/>
          <w:sz w:val="28"/>
          <w:szCs w:val="28"/>
        </w:rPr>
        <w:t>.</w:t>
      </w:r>
      <w:r w:rsidRPr="004C2E55">
        <w:rPr>
          <w:rFonts w:asciiTheme="majorBidi" w:hAnsiTheme="majorBidi" w:cstheme="majorBidi"/>
          <w:sz w:val="28"/>
          <w:szCs w:val="28"/>
          <w:rtl/>
        </w:rPr>
        <w:t>"</w:t>
      </w:r>
    </w:p>
    <w:p w14:paraId="1390E308" w14:textId="0B489234" w:rsidR="008B1107" w:rsidRPr="004C2E55" w:rsidRDefault="008B0326"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هذا التقديم المحايد هو في رأينا تلاعب بالمعلومات وطمس للواقع: في 12 فيفري</w:t>
      </w:r>
      <w:r w:rsidR="002E2ECF" w:rsidRPr="004C2E55">
        <w:rPr>
          <w:rFonts w:asciiTheme="majorBidi" w:hAnsiTheme="majorBidi" w:cstheme="majorBidi"/>
          <w:sz w:val="28"/>
          <w:szCs w:val="28"/>
          <w:rtl/>
        </w:rPr>
        <w:t xml:space="preserve"> 2022</w:t>
      </w:r>
      <w:r w:rsidRPr="004C2E55">
        <w:rPr>
          <w:rFonts w:asciiTheme="majorBidi" w:hAnsiTheme="majorBidi" w:cstheme="majorBidi"/>
          <w:sz w:val="28"/>
          <w:szCs w:val="28"/>
          <w:rtl/>
        </w:rPr>
        <w:t>، قام رئيس الجمهورية بحل المجلس الأعلى للقضاء (المنتخ</w:t>
      </w:r>
      <w:r w:rsidR="002E2ECF" w:rsidRPr="004C2E55">
        <w:rPr>
          <w:rFonts w:asciiTheme="majorBidi" w:hAnsiTheme="majorBidi" w:cstheme="majorBidi"/>
          <w:sz w:val="28"/>
          <w:szCs w:val="28"/>
          <w:rtl/>
        </w:rPr>
        <w:t>ب والمكون قانونيا)</w:t>
      </w:r>
      <w:r w:rsidRPr="004C2E55">
        <w:rPr>
          <w:rFonts w:asciiTheme="majorBidi" w:hAnsiTheme="majorBidi" w:cstheme="majorBidi"/>
          <w:sz w:val="28"/>
          <w:szCs w:val="28"/>
          <w:rtl/>
        </w:rPr>
        <w:t xml:space="preserve">، واستبدله بمجلس أعلى مؤقت للقضاء والذي عين أعضاءه بنفسه ومع ذلك فهو لا يستشيره في الأمور التي تدخل في اختصاصه. هذا هو الحال عندما أصدر رئيس الجمهورية </w:t>
      </w:r>
      <w:r w:rsidR="002E2ECF" w:rsidRPr="004C2E55">
        <w:rPr>
          <w:rFonts w:asciiTheme="majorBidi" w:hAnsiTheme="majorBidi" w:cstheme="majorBidi"/>
          <w:sz w:val="28"/>
          <w:szCs w:val="28"/>
          <w:rtl/>
        </w:rPr>
        <w:t>أمرا</w:t>
      </w:r>
      <w:r w:rsidRPr="004C2E55">
        <w:rPr>
          <w:rFonts w:asciiTheme="majorBidi" w:hAnsiTheme="majorBidi" w:cstheme="majorBidi"/>
          <w:sz w:val="28"/>
          <w:szCs w:val="28"/>
          <w:rtl/>
        </w:rPr>
        <w:t xml:space="preserve"> في 1 </w:t>
      </w:r>
      <w:r w:rsidR="000A4493" w:rsidRPr="004C2E55">
        <w:rPr>
          <w:rFonts w:asciiTheme="majorBidi" w:hAnsiTheme="majorBidi" w:cstheme="majorBidi"/>
          <w:sz w:val="28"/>
          <w:szCs w:val="28"/>
          <w:rtl/>
        </w:rPr>
        <w:t>جوان</w:t>
      </w:r>
      <w:r w:rsidRPr="004C2E55">
        <w:rPr>
          <w:rFonts w:asciiTheme="majorBidi" w:hAnsiTheme="majorBidi" w:cstheme="majorBidi"/>
          <w:sz w:val="28"/>
          <w:szCs w:val="28"/>
          <w:rtl/>
        </w:rPr>
        <w:t xml:space="preserve"> بإقالة 57 قاضيا دون المرور عبر </w:t>
      </w:r>
      <w:r w:rsidR="002E2ECF" w:rsidRPr="004C2E55">
        <w:rPr>
          <w:rFonts w:asciiTheme="majorBidi" w:hAnsiTheme="majorBidi" w:cstheme="majorBidi"/>
          <w:sz w:val="28"/>
          <w:szCs w:val="28"/>
          <w:rtl/>
        </w:rPr>
        <w:t xml:space="preserve">المجلس الأعلى المؤقت للقضاء </w:t>
      </w:r>
      <w:r w:rsidR="002D7886" w:rsidRPr="004C2E55">
        <w:rPr>
          <w:rFonts w:asciiTheme="majorBidi" w:hAnsiTheme="majorBidi" w:cstheme="majorBidi"/>
          <w:sz w:val="28"/>
          <w:szCs w:val="28"/>
          <w:rtl/>
        </w:rPr>
        <w:t>الذي عينه.</w:t>
      </w:r>
    </w:p>
    <w:p w14:paraId="3862761C" w14:textId="57C389D0" w:rsidR="008B1107" w:rsidRPr="004C2E55" w:rsidRDefault="008B1107"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وهكذا، تهدف الإصلاحات المؤسساتية إلى وضع حد لأي استقلالية للهيئات الدستورية: المحكمة الدستورية، و</w:t>
      </w:r>
      <w:r w:rsidR="000A4493" w:rsidRPr="004C2E55">
        <w:rPr>
          <w:rFonts w:asciiTheme="majorBidi" w:hAnsiTheme="majorBidi" w:cstheme="majorBidi"/>
          <w:sz w:val="28"/>
          <w:szCs w:val="28"/>
          <w:rtl/>
        </w:rPr>
        <w:t>المجلس الأعلى للقضاء</w:t>
      </w:r>
      <w:r w:rsidRPr="004C2E55">
        <w:rPr>
          <w:rFonts w:asciiTheme="majorBidi" w:hAnsiTheme="majorBidi" w:cstheme="majorBidi"/>
          <w:sz w:val="28"/>
          <w:szCs w:val="28"/>
          <w:rtl/>
        </w:rPr>
        <w:t>، والهيئات الدستورية. ويبقى المثال الصارخ هو الهيئة العليا المستقلة للانتخابات.</w:t>
      </w:r>
    </w:p>
    <w:p w14:paraId="3459DF99" w14:textId="77777777" w:rsidR="008B1107" w:rsidRPr="004C2E55" w:rsidRDefault="008B1107" w:rsidP="004C2E55">
      <w:pPr>
        <w:spacing w:after="0" w:line="240" w:lineRule="auto"/>
        <w:jc w:val="both"/>
        <w:rPr>
          <w:rFonts w:asciiTheme="majorBidi" w:hAnsiTheme="majorBidi" w:cstheme="majorBidi"/>
          <w:sz w:val="28"/>
          <w:szCs w:val="28"/>
        </w:rPr>
      </w:pPr>
    </w:p>
    <w:p w14:paraId="5484B0D6" w14:textId="47CCD15E" w:rsidR="00EF27DC" w:rsidRPr="004C2E55" w:rsidRDefault="00EF27DC"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t>- الهيئة العليا المستقلة للانتخابات:</w:t>
      </w:r>
    </w:p>
    <w:p w14:paraId="43378B9C" w14:textId="05B4A9F6" w:rsidR="00B710E1" w:rsidRPr="004C2E55" w:rsidRDefault="00EF27DC"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sz w:val="28"/>
          <w:szCs w:val="28"/>
          <w:rtl/>
        </w:rPr>
        <w:t>يتطرق التقرير إلى الإصلاحات الجديدة بطريقة وصفية تتسم بالحياد:</w:t>
      </w:r>
      <w:r w:rsidR="007D11C0" w:rsidRPr="004C2E55">
        <w:rPr>
          <w:rFonts w:asciiTheme="majorBidi" w:hAnsiTheme="majorBidi" w:cstheme="majorBidi"/>
          <w:sz w:val="28"/>
          <w:szCs w:val="28"/>
          <w:rtl/>
        </w:rPr>
        <w:t xml:space="preserve"> </w:t>
      </w:r>
      <w:r w:rsidRPr="00C524CC">
        <w:rPr>
          <w:rFonts w:asciiTheme="majorBidi" w:hAnsiTheme="majorBidi" w:cstheme="majorBidi"/>
          <w:i/>
          <w:iCs/>
          <w:color w:val="0070C0"/>
          <w:sz w:val="28"/>
          <w:szCs w:val="28"/>
          <w:rtl/>
        </w:rPr>
        <w:t>"</w:t>
      </w:r>
      <w:r w:rsidR="00120FDC" w:rsidRPr="00C524CC">
        <w:rPr>
          <w:rFonts w:asciiTheme="majorBidi" w:hAnsiTheme="majorBidi" w:cstheme="majorBidi"/>
          <w:i/>
          <w:iCs/>
          <w:color w:val="0070C0"/>
          <w:sz w:val="28"/>
          <w:szCs w:val="28"/>
          <w:rtl/>
        </w:rPr>
        <w:t>تم إصدار المرسوم عدد 22 لسنة 2022 المتعلق بتنقيح بعض أحكام القانون الأساسي عدد23 لسنة 2012.  كما صدر أمر رئاسيي عدد 459 لسنة 2022 يتعلق بتسمية أعضاء مجلس الهيئة العليا المستقلة للانتخابات</w:t>
      </w:r>
      <w:r w:rsidR="00120FDC" w:rsidRPr="004C2E55">
        <w:rPr>
          <w:rFonts w:asciiTheme="majorBidi" w:hAnsiTheme="majorBidi" w:cstheme="majorBidi"/>
          <w:i/>
          <w:iCs/>
          <w:sz w:val="28"/>
          <w:szCs w:val="28"/>
        </w:rPr>
        <w:t>.</w:t>
      </w:r>
      <w:r w:rsidRPr="004C2E55">
        <w:rPr>
          <w:rFonts w:asciiTheme="majorBidi" w:hAnsiTheme="majorBidi" w:cstheme="majorBidi"/>
          <w:i/>
          <w:iCs/>
          <w:sz w:val="28"/>
          <w:szCs w:val="28"/>
          <w:rtl/>
        </w:rPr>
        <w:t>"</w:t>
      </w:r>
    </w:p>
    <w:p w14:paraId="5396D9FA" w14:textId="008E6F82" w:rsidR="00B710E1" w:rsidRPr="004C2E55" w:rsidRDefault="00B710E1"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وتجدر الإشارة إلى أن هذه الإصلاحات فسحت المجال</w:t>
      </w:r>
      <w:r w:rsidR="0012032F" w:rsidRPr="004C2E55">
        <w:rPr>
          <w:rFonts w:asciiTheme="majorBidi" w:hAnsiTheme="majorBidi" w:cstheme="majorBidi"/>
          <w:sz w:val="28"/>
          <w:szCs w:val="28"/>
          <w:rtl/>
        </w:rPr>
        <w:t xml:space="preserve"> أمام رئيس الجمهورية ل</w:t>
      </w:r>
      <w:r w:rsidRPr="004C2E55">
        <w:rPr>
          <w:rFonts w:asciiTheme="majorBidi" w:hAnsiTheme="majorBidi" w:cstheme="majorBidi"/>
          <w:sz w:val="28"/>
          <w:szCs w:val="28"/>
          <w:rtl/>
        </w:rPr>
        <w:t>إزالة الهيئة المنتخبة قانونا وإنشاء هيئة يعين رئيس</w:t>
      </w:r>
      <w:r w:rsidR="0012032F" w:rsidRPr="004C2E55">
        <w:rPr>
          <w:rFonts w:asciiTheme="majorBidi" w:hAnsiTheme="majorBidi" w:cstheme="majorBidi"/>
          <w:sz w:val="28"/>
          <w:szCs w:val="28"/>
          <w:rtl/>
        </w:rPr>
        <w:t xml:space="preserve"> الدولة أعضاءها وبالتالي يضمن </w:t>
      </w:r>
      <w:proofErr w:type="spellStart"/>
      <w:r w:rsidR="0012032F" w:rsidRPr="004C2E55">
        <w:rPr>
          <w:rFonts w:asciiTheme="majorBidi" w:hAnsiTheme="majorBidi" w:cstheme="majorBidi"/>
          <w:sz w:val="28"/>
          <w:szCs w:val="28"/>
          <w:rtl/>
        </w:rPr>
        <w:t>ولائ</w:t>
      </w:r>
      <w:r w:rsidR="007D11C0" w:rsidRPr="004C2E55">
        <w:rPr>
          <w:rFonts w:asciiTheme="majorBidi" w:hAnsiTheme="majorBidi" w:cstheme="majorBidi"/>
          <w:sz w:val="28"/>
          <w:szCs w:val="28"/>
          <w:rtl/>
        </w:rPr>
        <w:t>ءه</w:t>
      </w:r>
      <w:r w:rsidR="0012032F" w:rsidRPr="004C2E55">
        <w:rPr>
          <w:rFonts w:asciiTheme="majorBidi" w:hAnsiTheme="majorBidi" w:cstheme="majorBidi"/>
          <w:sz w:val="28"/>
          <w:szCs w:val="28"/>
          <w:rtl/>
        </w:rPr>
        <w:t>م</w:t>
      </w:r>
      <w:proofErr w:type="spellEnd"/>
      <w:r w:rsidR="0012032F" w:rsidRPr="004C2E55">
        <w:rPr>
          <w:rFonts w:asciiTheme="majorBidi" w:hAnsiTheme="majorBidi" w:cstheme="majorBidi"/>
          <w:sz w:val="28"/>
          <w:szCs w:val="28"/>
          <w:rtl/>
        </w:rPr>
        <w:t xml:space="preserve"> التام له</w:t>
      </w:r>
      <w:r w:rsidRPr="004C2E55">
        <w:rPr>
          <w:rFonts w:asciiTheme="majorBidi" w:hAnsiTheme="majorBidi" w:cstheme="majorBidi"/>
          <w:sz w:val="28"/>
          <w:szCs w:val="28"/>
          <w:rtl/>
        </w:rPr>
        <w:t xml:space="preserve">. </w:t>
      </w:r>
      <w:r w:rsidR="0012032F" w:rsidRPr="004C2E55">
        <w:rPr>
          <w:rFonts w:asciiTheme="majorBidi" w:hAnsiTheme="majorBidi" w:cstheme="majorBidi"/>
          <w:sz w:val="28"/>
          <w:szCs w:val="28"/>
          <w:rtl/>
        </w:rPr>
        <w:t>وما يدل على قبول هذه الهيئة ب</w:t>
      </w:r>
      <w:r w:rsidRPr="004C2E55">
        <w:rPr>
          <w:rFonts w:asciiTheme="majorBidi" w:hAnsiTheme="majorBidi" w:cstheme="majorBidi"/>
          <w:sz w:val="28"/>
          <w:szCs w:val="28"/>
          <w:rtl/>
        </w:rPr>
        <w:t>جميع إملاءات الرئيس</w:t>
      </w:r>
      <w:r w:rsidR="0012032F" w:rsidRPr="004C2E55">
        <w:rPr>
          <w:rFonts w:asciiTheme="majorBidi" w:hAnsiTheme="majorBidi" w:cstheme="majorBidi"/>
          <w:sz w:val="28"/>
          <w:szCs w:val="28"/>
          <w:rtl/>
        </w:rPr>
        <w:t xml:space="preserve"> هو التالي</w:t>
      </w:r>
      <w:r w:rsidRPr="004C2E55">
        <w:rPr>
          <w:rFonts w:asciiTheme="majorBidi" w:hAnsiTheme="majorBidi" w:cstheme="majorBidi"/>
          <w:sz w:val="28"/>
          <w:szCs w:val="28"/>
          <w:rtl/>
        </w:rPr>
        <w:t xml:space="preserve">: تغيير جميع </w:t>
      </w:r>
      <w:r w:rsidR="0012032F" w:rsidRPr="004C2E55">
        <w:rPr>
          <w:rFonts w:asciiTheme="majorBidi" w:hAnsiTheme="majorBidi" w:cstheme="majorBidi"/>
          <w:sz w:val="28"/>
          <w:szCs w:val="28"/>
          <w:rtl/>
        </w:rPr>
        <w:t>الأحكام</w:t>
      </w:r>
      <w:r w:rsidRPr="004C2E55">
        <w:rPr>
          <w:rFonts w:asciiTheme="majorBidi" w:hAnsiTheme="majorBidi" w:cstheme="majorBidi"/>
          <w:sz w:val="28"/>
          <w:szCs w:val="28"/>
          <w:rtl/>
        </w:rPr>
        <w:t xml:space="preserve"> المتعلقة بالانتخابات والاستفتاءات قبل أسابيع قليلة من إجرائها، ونشر مشروع الدستور في 30 </w:t>
      </w:r>
      <w:r w:rsidR="0012032F" w:rsidRPr="004C2E55">
        <w:rPr>
          <w:rFonts w:asciiTheme="majorBidi" w:hAnsiTheme="majorBidi" w:cstheme="majorBidi"/>
          <w:sz w:val="28"/>
          <w:szCs w:val="28"/>
          <w:rtl/>
        </w:rPr>
        <w:t>جوان</w:t>
      </w:r>
      <w:r w:rsidRPr="004C2E55">
        <w:rPr>
          <w:rFonts w:asciiTheme="majorBidi" w:hAnsiTheme="majorBidi" w:cstheme="majorBidi"/>
          <w:sz w:val="28"/>
          <w:szCs w:val="28"/>
          <w:rtl/>
        </w:rPr>
        <w:t xml:space="preserve">، وتعديله في 8 </w:t>
      </w:r>
      <w:r w:rsidR="0012032F" w:rsidRPr="004C2E55">
        <w:rPr>
          <w:rFonts w:asciiTheme="majorBidi" w:hAnsiTheme="majorBidi" w:cstheme="majorBidi"/>
          <w:sz w:val="28"/>
          <w:szCs w:val="28"/>
          <w:rtl/>
        </w:rPr>
        <w:t>جويلية</w:t>
      </w:r>
      <w:r w:rsidRPr="004C2E55">
        <w:rPr>
          <w:rFonts w:asciiTheme="majorBidi" w:hAnsiTheme="majorBidi" w:cstheme="majorBidi"/>
          <w:sz w:val="28"/>
          <w:szCs w:val="28"/>
          <w:rtl/>
        </w:rPr>
        <w:t xml:space="preserve"> (</w:t>
      </w:r>
      <w:r w:rsidR="0012032F" w:rsidRPr="004C2E55">
        <w:rPr>
          <w:rFonts w:asciiTheme="majorBidi" w:hAnsiTheme="majorBidi" w:cstheme="majorBidi"/>
          <w:sz w:val="28"/>
          <w:szCs w:val="28"/>
          <w:rtl/>
        </w:rPr>
        <w:t xml:space="preserve">أي </w:t>
      </w:r>
      <w:r w:rsidRPr="004C2E55">
        <w:rPr>
          <w:rFonts w:asciiTheme="majorBidi" w:hAnsiTheme="majorBidi" w:cstheme="majorBidi"/>
          <w:sz w:val="28"/>
          <w:szCs w:val="28"/>
          <w:rtl/>
        </w:rPr>
        <w:t xml:space="preserve">قبل أسبوعين من الاستفتاء)؛ </w:t>
      </w:r>
    </w:p>
    <w:p w14:paraId="56C9C27D" w14:textId="77777777" w:rsidR="00192025" w:rsidRPr="004C2E55" w:rsidRDefault="00192025" w:rsidP="004C2E55">
      <w:pPr>
        <w:bidi/>
        <w:spacing w:after="0" w:line="240" w:lineRule="auto"/>
        <w:jc w:val="both"/>
        <w:rPr>
          <w:rFonts w:asciiTheme="majorBidi" w:hAnsiTheme="majorBidi" w:cstheme="majorBidi"/>
          <w:sz w:val="28"/>
          <w:szCs w:val="28"/>
          <w:rtl/>
        </w:rPr>
      </w:pPr>
    </w:p>
    <w:p w14:paraId="15370CDB" w14:textId="1CFF6DD4" w:rsidR="00192025" w:rsidRPr="004C2E55" w:rsidRDefault="00192025"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يمكن القول بأن </w:t>
      </w:r>
      <w:r w:rsidR="00BB3C79" w:rsidRPr="004C2E55">
        <w:rPr>
          <w:rFonts w:asciiTheme="majorBidi" w:hAnsiTheme="majorBidi" w:cstheme="majorBidi"/>
          <w:sz w:val="28"/>
          <w:szCs w:val="28"/>
          <w:rtl/>
        </w:rPr>
        <w:t>نصف الحقائق المذكورة في التقرير الوطني المتعلق با</w:t>
      </w:r>
      <w:r w:rsidRPr="004C2E55">
        <w:rPr>
          <w:rFonts w:asciiTheme="majorBidi" w:hAnsiTheme="majorBidi" w:cstheme="majorBidi"/>
          <w:sz w:val="28"/>
          <w:szCs w:val="28"/>
          <w:rtl/>
        </w:rPr>
        <w:t>لاستعراض ال</w:t>
      </w:r>
      <w:r w:rsidR="00BB3C79" w:rsidRPr="004C2E55">
        <w:rPr>
          <w:rFonts w:asciiTheme="majorBidi" w:hAnsiTheme="majorBidi" w:cstheme="majorBidi"/>
          <w:sz w:val="28"/>
          <w:szCs w:val="28"/>
          <w:rtl/>
        </w:rPr>
        <w:t xml:space="preserve">دوري الشامل </w:t>
      </w:r>
      <w:r w:rsidR="00D04391" w:rsidRPr="004C2E55">
        <w:rPr>
          <w:rFonts w:asciiTheme="majorBidi" w:hAnsiTheme="majorBidi" w:cstheme="majorBidi"/>
          <w:sz w:val="28"/>
          <w:szCs w:val="28"/>
          <w:rtl/>
        </w:rPr>
        <w:t xml:space="preserve">تصل إلى مستوى أسوء مما هو متوقع عندما </w:t>
      </w:r>
      <w:r w:rsidRPr="004C2E55">
        <w:rPr>
          <w:rFonts w:asciiTheme="majorBidi" w:hAnsiTheme="majorBidi" w:cstheme="majorBidi"/>
          <w:sz w:val="28"/>
          <w:szCs w:val="28"/>
          <w:rtl/>
        </w:rPr>
        <w:t xml:space="preserve">تتحول إلى </w:t>
      </w:r>
      <w:r w:rsidR="007D11C0" w:rsidRPr="004C2E55">
        <w:rPr>
          <w:rFonts w:asciiTheme="majorBidi" w:hAnsiTheme="majorBidi" w:cstheme="majorBidi"/>
          <w:sz w:val="28"/>
          <w:szCs w:val="28"/>
          <w:rtl/>
        </w:rPr>
        <w:t>مغالطات</w:t>
      </w:r>
      <w:r w:rsidRPr="004C2E55">
        <w:rPr>
          <w:rFonts w:asciiTheme="majorBidi" w:hAnsiTheme="majorBidi" w:cstheme="majorBidi"/>
          <w:sz w:val="28"/>
          <w:szCs w:val="28"/>
          <w:rtl/>
        </w:rPr>
        <w:t xml:space="preserve"> (أكاذيب الدولة).</w:t>
      </w:r>
    </w:p>
    <w:p w14:paraId="25EC1A94" w14:textId="445CE174" w:rsidR="00472A6F" w:rsidRPr="004C2E55" w:rsidRDefault="00472A6F" w:rsidP="004C2E55">
      <w:pPr>
        <w:spacing w:after="0" w:line="240" w:lineRule="auto"/>
        <w:jc w:val="both"/>
        <w:rPr>
          <w:rFonts w:asciiTheme="majorBidi" w:hAnsiTheme="majorBidi" w:cstheme="majorBidi"/>
          <w:sz w:val="28"/>
          <w:szCs w:val="28"/>
          <w:rtl/>
        </w:rPr>
      </w:pPr>
    </w:p>
    <w:p w14:paraId="3035958D" w14:textId="797E5273" w:rsidR="00704EB2" w:rsidRPr="004C2E55" w:rsidRDefault="007D11C0" w:rsidP="004C2E55">
      <w:pPr>
        <w:pStyle w:val="Paragraphedeliste"/>
        <w:numPr>
          <w:ilvl w:val="0"/>
          <w:numId w:val="2"/>
        </w:numPr>
        <w:bidi/>
        <w:spacing w:after="0" w:line="240" w:lineRule="auto"/>
        <w:jc w:val="both"/>
        <w:rPr>
          <w:rFonts w:asciiTheme="majorBidi" w:hAnsiTheme="majorBidi" w:cstheme="majorBidi"/>
          <w:b/>
          <w:bCs/>
          <w:sz w:val="32"/>
          <w:szCs w:val="32"/>
        </w:rPr>
      </w:pPr>
      <w:r w:rsidRPr="004C2E55">
        <w:rPr>
          <w:rFonts w:asciiTheme="majorBidi" w:hAnsiTheme="majorBidi" w:cstheme="majorBidi"/>
          <w:b/>
          <w:bCs/>
          <w:sz w:val="32"/>
          <w:szCs w:val="32"/>
          <w:rtl/>
        </w:rPr>
        <w:t xml:space="preserve">المغالطات أو في </w:t>
      </w:r>
      <w:r w:rsidR="00704EB2" w:rsidRPr="004C2E55">
        <w:rPr>
          <w:rFonts w:asciiTheme="majorBidi" w:hAnsiTheme="majorBidi" w:cstheme="majorBidi"/>
          <w:b/>
          <w:bCs/>
          <w:sz w:val="32"/>
          <w:szCs w:val="32"/>
          <w:rtl/>
        </w:rPr>
        <w:t>أكاذيب الدولة</w:t>
      </w:r>
    </w:p>
    <w:p w14:paraId="12B70151" w14:textId="77777777" w:rsidR="00704EB2" w:rsidRPr="004C2E55" w:rsidRDefault="00704EB2" w:rsidP="004C2E55">
      <w:pPr>
        <w:bidi/>
        <w:spacing w:after="0" w:line="240" w:lineRule="auto"/>
        <w:jc w:val="both"/>
        <w:rPr>
          <w:rFonts w:asciiTheme="majorBidi" w:hAnsiTheme="majorBidi" w:cstheme="majorBidi"/>
          <w:sz w:val="28"/>
          <w:szCs w:val="28"/>
        </w:rPr>
      </w:pPr>
    </w:p>
    <w:p w14:paraId="19C06C74" w14:textId="60BF27C0" w:rsidR="00704EB2" w:rsidRPr="004C2E55" w:rsidRDefault="00704EB2"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يعتبر تقرير الاستعراض الدوري الشامل تقريرا مليئا بالأكاذيب! </w:t>
      </w:r>
      <w:r w:rsidR="000A4493" w:rsidRPr="004C2E55">
        <w:rPr>
          <w:rFonts w:asciiTheme="majorBidi" w:hAnsiTheme="majorBidi" w:cstheme="majorBidi"/>
          <w:sz w:val="28"/>
          <w:szCs w:val="28"/>
          <w:rtl/>
        </w:rPr>
        <w:t xml:space="preserve">اذ </w:t>
      </w:r>
      <w:r w:rsidRPr="004C2E55">
        <w:rPr>
          <w:rFonts w:asciiTheme="majorBidi" w:hAnsiTheme="majorBidi" w:cstheme="majorBidi"/>
          <w:sz w:val="28"/>
          <w:szCs w:val="28"/>
          <w:rtl/>
        </w:rPr>
        <w:t>يعج التقرير بالعديد منها، وسنقدم</w:t>
      </w:r>
      <w:r w:rsidR="00B80C75" w:rsidRPr="004C2E55">
        <w:rPr>
          <w:rFonts w:asciiTheme="majorBidi" w:hAnsiTheme="majorBidi" w:cstheme="majorBidi"/>
          <w:sz w:val="28"/>
          <w:szCs w:val="28"/>
          <w:rtl/>
        </w:rPr>
        <w:t xml:space="preserve"> فقط الأكاذيب الأكثر ف</w:t>
      </w:r>
      <w:r w:rsidR="00FE4C19" w:rsidRPr="004C2E55">
        <w:rPr>
          <w:rFonts w:asciiTheme="majorBidi" w:hAnsiTheme="majorBidi" w:cstheme="majorBidi"/>
          <w:sz w:val="28"/>
          <w:szCs w:val="28"/>
          <w:rtl/>
        </w:rPr>
        <w:t>داح</w:t>
      </w:r>
      <w:r w:rsidR="00B80C75" w:rsidRPr="004C2E55">
        <w:rPr>
          <w:rFonts w:asciiTheme="majorBidi" w:hAnsiTheme="majorBidi" w:cstheme="majorBidi"/>
          <w:sz w:val="28"/>
          <w:szCs w:val="28"/>
          <w:rtl/>
        </w:rPr>
        <w:t>ة:</w:t>
      </w:r>
    </w:p>
    <w:p w14:paraId="3561131D" w14:textId="77777777" w:rsidR="00841F14" w:rsidRPr="004C2E55" w:rsidRDefault="00841F14" w:rsidP="004C2E55">
      <w:pPr>
        <w:bidi/>
        <w:spacing w:after="0" w:line="240" w:lineRule="auto"/>
        <w:jc w:val="both"/>
        <w:rPr>
          <w:rFonts w:asciiTheme="majorBidi" w:hAnsiTheme="majorBidi" w:cstheme="majorBidi"/>
          <w:sz w:val="28"/>
          <w:szCs w:val="28"/>
        </w:rPr>
      </w:pPr>
    </w:p>
    <w:p w14:paraId="7A399FD4" w14:textId="01FB5B8F" w:rsidR="00841F14" w:rsidRPr="004C2E55" w:rsidRDefault="00841F14" w:rsidP="004C2E55">
      <w:pPr>
        <w:bidi/>
        <w:spacing w:after="0" w:line="240" w:lineRule="auto"/>
        <w:jc w:val="both"/>
        <w:rPr>
          <w:rFonts w:asciiTheme="majorBidi" w:hAnsiTheme="majorBidi" w:cstheme="majorBidi"/>
          <w:b/>
          <w:bCs/>
          <w:sz w:val="28"/>
          <w:szCs w:val="28"/>
        </w:rPr>
      </w:pPr>
      <w:r w:rsidRPr="004C2E55">
        <w:rPr>
          <w:rFonts w:asciiTheme="majorBidi" w:hAnsiTheme="majorBidi" w:cstheme="majorBidi"/>
          <w:b/>
          <w:bCs/>
          <w:sz w:val="28"/>
          <w:szCs w:val="28"/>
          <w:rtl/>
        </w:rPr>
        <w:t xml:space="preserve">1.2. في </w:t>
      </w:r>
      <w:r w:rsidR="004C2E55">
        <w:rPr>
          <w:rFonts w:asciiTheme="majorBidi" w:hAnsiTheme="majorBidi" w:cstheme="majorBidi" w:hint="cs"/>
          <w:b/>
          <w:bCs/>
          <w:sz w:val="28"/>
          <w:szCs w:val="28"/>
          <w:rtl/>
          <w:lang w:bidi="ar-TN"/>
        </w:rPr>
        <w:t>أ</w:t>
      </w:r>
      <w:r w:rsidRPr="004C2E55">
        <w:rPr>
          <w:rFonts w:asciiTheme="majorBidi" w:hAnsiTheme="majorBidi" w:cstheme="majorBidi"/>
          <w:b/>
          <w:bCs/>
          <w:sz w:val="28"/>
          <w:szCs w:val="28"/>
          <w:rtl/>
        </w:rPr>
        <w:t>شب</w:t>
      </w:r>
      <w:r w:rsidR="004C2E55">
        <w:rPr>
          <w:rFonts w:asciiTheme="majorBidi" w:hAnsiTheme="majorBidi" w:cstheme="majorBidi" w:hint="cs"/>
          <w:b/>
          <w:bCs/>
          <w:sz w:val="28"/>
          <w:szCs w:val="28"/>
          <w:rtl/>
        </w:rPr>
        <w:t>ا</w:t>
      </w:r>
      <w:r w:rsidRPr="004C2E55">
        <w:rPr>
          <w:rFonts w:asciiTheme="majorBidi" w:hAnsiTheme="majorBidi" w:cstheme="majorBidi"/>
          <w:b/>
          <w:bCs/>
          <w:sz w:val="28"/>
          <w:szCs w:val="28"/>
          <w:rtl/>
        </w:rPr>
        <w:t>ه الحقائق المتعلقة بالإصلاحات المنجزة</w:t>
      </w:r>
    </w:p>
    <w:p w14:paraId="230B9EBA" w14:textId="578E6350" w:rsidR="004D3973" w:rsidRPr="004C2E55" w:rsidRDefault="00271807"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w:t>
      </w:r>
      <w:r w:rsidRPr="004C2E55">
        <w:rPr>
          <w:rFonts w:asciiTheme="majorBidi" w:hAnsiTheme="majorBidi" w:cstheme="majorBidi"/>
          <w:i/>
          <w:iCs/>
          <w:sz w:val="28"/>
          <w:szCs w:val="28"/>
          <w:rtl/>
        </w:rPr>
        <w:t xml:space="preserve"> إحداث المجلس الوطني للجهات والأقاليم</w:t>
      </w:r>
    </w:p>
    <w:p w14:paraId="67AA73EE" w14:textId="3F172B29" w:rsidR="001D3E1D" w:rsidRPr="004C2E55" w:rsidRDefault="00271807" w:rsidP="004C2E55">
      <w:pPr>
        <w:bidi/>
        <w:spacing w:after="0" w:line="240" w:lineRule="auto"/>
        <w:jc w:val="both"/>
        <w:rPr>
          <w:rFonts w:asciiTheme="majorBidi" w:hAnsiTheme="majorBidi" w:cstheme="majorBidi"/>
          <w:sz w:val="28"/>
          <w:szCs w:val="28"/>
          <w:rtl/>
        </w:rPr>
      </w:pPr>
      <w:r w:rsidRPr="00C524CC">
        <w:rPr>
          <w:rFonts w:asciiTheme="majorBidi" w:hAnsiTheme="majorBidi" w:cstheme="majorBidi"/>
          <w:i/>
          <w:iCs/>
          <w:color w:val="0070C0"/>
          <w:sz w:val="28"/>
          <w:szCs w:val="28"/>
          <w:rtl/>
        </w:rPr>
        <w:t>عزّز دستور الجمهوريّة الجديدة المنظومة المؤسساتيّة الراعية لحقوق الإنس</w:t>
      </w:r>
      <w:r w:rsidR="004D3973" w:rsidRPr="00C524CC">
        <w:rPr>
          <w:rFonts w:asciiTheme="majorBidi" w:hAnsiTheme="majorBidi" w:cstheme="majorBidi"/>
          <w:i/>
          <w:iCs/>
          <w:color w:val="0070C0"/>
          <w:sz w:val="28"/>
          <w:szCs w:val="28"/>
          <w:rtl/>
        </w:rPr>
        <w:t>ان حيث تمّ إحداث</w:t>
      </w:r>
      <w:r w:rsidRPr="00C524CC">
        <w:rPr>
          <w:rFonts w:asciiTheme="majorBidi" w:hAnsiTheme="majorBidi" w:cstheme="majorBidi"/>
          <w:i/>
          <w:iCs/>
          <w:color w:val="0070C0"/>
          <w:sz w:val="28"/>
          <w:szCs w:val="28"/>
          <w:rtl/>
        </w:rPr>
        <w:t xml:space="preserve"> المجلس الوطني للجهات والأق</w:t>
      </w:r>
      <w:r w:rsidR="004D3973" w:rsidRPr="00C524CC">
        <w:rPr>
          <w:rFonts w:asciiTheme="majorBidi" w:hAnsiTheme="majorBidi" w:cstheme="majorBidi"/>
          <w:i/>
          <w:iCs/>
          <w:color w:val="0070C0"/>
          <w:sz w:val="28"/>
          <w:szCs w:val="28"/>
          <w:rtl/>
        </w:rPr>
        <w:t>اليم</w:t>
      </w:r>
      <w:r w:rsidR="00101DC0" w:rsidRPr="004C2E55">
        <w:rPr>
          <w:rStyle w:val="Appelnotedebasdep"/>
          <w:rFonts w:asciiTheme="majorBidi" w:hAnsiTheme="majorBidi" w:cstheme="majorBidi"/>
          <w:sz w:val="28"/>
          <w:szCs w:val="28"/>
          <w:rtl/>
        </w:rPr>
        <w:footnoteReference w:id="9"/>
      </w:r>
      <w:r w:rsidR="004D3973" w:rsidRPr="004C2E55">
        <w:rPr>
          <w:rFonts w:asciiTheme="majorBidi" w:hAnsiTheme="majorBidi" w:cstheme="majorBidi"/>
          <w:sz w:val="28"/>
          <w:szCs w:val="28"/>
          <w:rtl/>
        </w:rPr>
        <w:t xml:space="preserve"> </w:t>
      </w:r>
      <w:r w:rsidRPr="004C2E55">
        <w:rPr>
          <w:rFonts w:asciiTheme="majorBidi" w:hAnsiTheme="majorBidi" w:cstheme="majorBidi"/>
          <w:sz w:val="24"/>
          <w:szCs w:val="24"/>
          <w:highlight w:val="lightGray"/>
          <w:rtl/>
        </w:rPr>
        <w:t>(الفقرة 43)</w:t>
      </w:r>
      <w:r w:rsidR="00841F14" w:rsidRPr="004C2E55">
        <w:rPr>
          <w:rFonts w:asciiTheme="majorBidi" w:hAnsiTheme="majorBidi" w:cstheme="majorBidi"/>
          <w:sz w:val="24"/>
          <w:szCs w:val="24"/>
          <w:highlight w:val="lightGray"/>
          <w:rtl/>
        </w:rPr>
        <w:t>.</w:t>
      </w:r>
    </w:p>
    <w:p w14:paraId="1E1FD5F1" w14:textId="08E475CC" w:rsidR="004866EB" w:rsidRPr="004C2E55" w:rsidRDefault="004866EB"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يقدم تقرير 2022 المجلس الوطني </w:t>
      </w:r>
      <w:r w:rsidR="007D11C0" w:rsidRPr="004C2E55">
        <w:rPr>
          <w:rFonts w:asciiTheme="majorBidi" w:hAnsiTheme="majorBidi" w:cstheme="majorBidi"/>
          <w:sz w:val="28"/>
          <w:szCs w:val="28"/>
          <w:rtl/>
        </w:rPr>
        <w:t>للجهات</w:t>
      </w:r>
      <w:r w:rsidRPr="004C2E55">
        <w:rPr>
          <w:rFonts w:asciiTheme="majorBidi" w:hAnsiTheme="majorBidi" w:cstheme="majorBidi"/>
          <w:sz w:val="28"/>
          <w:szCs w:val="28"/>
          <w:rtl/>
        </w:rPr>
        <w:t xml:space="preserve"> والأقاليم كإصلاح من شأنه أن يسمح بتعزيز حقوق الإنسان! ومع ذلك، فإن طريقة تعيين أعضاء هذا المجلس لا علاقة لها بقواعد الديمقراطية التمثيلية. وهو مجلس يتم اختياره على المستويين المحلي والإقليمي، ويمكن أن يعكس مصالح الجماعات المؤثرة والقوية على مستوى الجهة التي ينتمون إليها، والذي يمكن أن ينافس ويعرقل فيما بعد الإصلاحات التي يقوم بها البرلمان (خاصة فيما يتعلق بميزانية الدولة وبرامج التنمية) المنتخب في إطار الاقتراع العام الحر والمباشر والسري</w:t>
      </w:r>
      <w:r w:rsidRPr="004C2E55">
        <w:rPr>
          <w:rFonts w:asciiTheme="majorBidi" w:hAnsiTheme="majorBidi" w:cstheme="majorBidi"/>
          <w:sz w:val="28"/>
          <w:szCs w:val="28"/>
        </w:rPr>
        <w:t>.</w:t>
      </w:r>
    </w:p>
    <w:p w14:paraId="53101093" w14:textId="77777777" w:rsidR="004866EB" w:rsidRPr="004C2E55" w:rsidRDefault="004866EB" w:rsidP="004C2E55">
      <w:pPr>
        <w:spacing w:after="0" w:line="240" w:lineRule="auto"/>
        <w:jc w:val="both"/>
        <w:rPr>
          <w:rFonts w:asciiTheme="majorBidi" w:hAnsiTheme="majorBidi" w:cstheme="majorBidi"/>
          <w:sz w:val="28"/>
          <w:szCs w:val="28"/>
        </w:rPr>
      </w:pPr>
    </w:p>
    <w:p w14:paraId="2CE18708" w14:textId="50929FC9" w:rsidR="00C460D4" w:rsidRPr="004C2E55" w:rsidRDefault="00C460D4"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lastRenderedPageBreak/>
        <w:t>- إعلان حالة الطوارئ وتمديدها:</w:t>
      </w:r>
    </w:p>
    <w:p w14:paraId="1A22BEEE" w14:textId="01EA05D2" w:rsidR="00C460D4" w:rsidRPr="004C2E55" w:rsidRDefault="00C460D4"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حسب التقرير: "</w:t>
      </w:r>
      <w:r w:rsidRPr="00C524CC">
        <w:rPr>
          <w:rFonts w:asciiTheme="majorBidi" w:hAnsiTheme="majorBidi" w:cstheme="majorBidi"/>
          <w:i/>
          <w:iCs/>
          <w:color w:val="0070C0"/>
          <w:sz w:val="28"/>
          <w:szCs w:val="28"/>
          <w:rtl/>
        </w:rPr>
        <w:t>يقع الرجوع للأمر عدد 50 لسنة 1978 لإعلان حالة الطوارئ والتمديد فيها في عدة فترات. وتم اعداد مبادرة تشريعيّة لتعديل هذا الأمر وفقا للمعايير الدولية بما يضمن توازنا بين متطلبات حماية الأمن العام وضمان حقوق الإنسان وتمّ التداول ضمن مجالس وزارية حول هذه المبادرة وإحالتها إلى البرلمان منذ سنة 2018</w:t>
      </w:r>
      <w:r w:rsidRPr="00C524CC">
        <w:rPr>
          <w:rFonts w:asciiTheme="majorBidi" w:hAnsiTheme="majorBidi" w:cstheme="majorBidi"/>
          <w:color w:val="0070C0"/>
          <w:sz w:val="28"/>
          <w:szCs w:val="28"/>
          <w:rtl/>
        </w:rPr>
        <w:t xml:space="preserve"> </w:t>
      </w:r>
      <w:r w:rsidR="00101DC0" w:rsidRPr="004C2E55">
        <w:rPr>
          <w:rStyle w:val="Appelnotedebasdep"/>
          <w:rFonts w:asciiTheme="majorBidi" w:hAnsiTheme="majorBidi" w:cstheme="majorBidi"/>
          <w:sz w:val="28"/>
          <w:szCs w:val="28"/>
          <w:rtl/>
        </w:rPr>
        <w:footnoteReference w:id="10"/>
      </w:r>
      <w:r w:rsidR="00101DC0" w:rsidRPr="004C2E55">
        <w:rPr>
          <w:rFonts w:asciiTheme="majorBidi" w:hAnsiTheme="majorBidi" w:cstheme="majorBidi"/>
          <w:sz w:val="28"/>
          <w:szCs w:val="28"/>
          <w:rtl/>
        </w:rPr>
        <w:t xml:space="preserve"> </w:t>
      </w:r>
      <w:r w:rsidRPr="004C2E55">
        <w:rPr>
          <w:rFonts w:asciiTheme="majorBidi" w:hAnsiTheme="majorBidi" w:cstheme="majorBidi"/>
          <w:sz w:val="24"/>
          <w:szCs w:val="24"/>
          <w:highlight w:val="lightGray"/>
          <w:rtl/>
        </w:rPr>
        <w:t>(الفقرة 82)."</w:t>
      </w:r>
    </w:p>
    <w:p w14:paraId="46BDE3B2" w14:textId="4772E068" w:rsidR="00193EDD" w:rsidRPr="004C2E55" w:rsidRDefault="00193EDD"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يعتبر التطرق للإطار القانوني لحالة الطوارئ بهذه الطريقة خاطئا. ولا بد من التذكير أن تطبيق حالة الاستثناء أصبح معتمدا بصفة مكثفة منذ 25 جويلية 2021. هذا وقد قام رئيس الجمهورية بتفعيل الترس</w:t>
      </w:r>
      <w:r w:rsidR="00264513" w:rsidRPr="004C2E55">
        <w:rPr>
          <w:rFonts w:asciiTheme="majorBidi" w:hAnsiTheme="majorBidi" w:cstheme="majorBidi"/>
          <w:sz w:val="28"/>
          <w:szCs w:val="28"/>
          <w:rtl/>
        </w:rPr>
        <w:t>انة القانونية المتعلقة ب</w:t>
      </w:r>
      <w:r w:rsidRPr="004C2E55">
        <w:rPr>
          <w:rFonts w:asciiTheme="majorBidi" w:hAnsiTheme="majorBidi" w:cstheme="majorBidi"/>
          <w:sz w:val="28"/>
          <w:szCs w:val="28"/>
          <w:rtl/>
        </w:rPr>
        <w:t xml:space="preserve">حالة </w:t>
      </w:r>
      <w:r w:rsidR="0025330E" w:rsidRPr="004C2E55">
        <w:rPr>
          <w:rFonts w:asciiTheme="majorBidi" w:hAnsiTheme="majorBidi" w:cstheme="majorBidi"/>
          <w:sz w:val="28"/>
          <w:szCs w:val="28"/>
          <w:rtl/>
        </w:rPr>
        <w:t>الطوارئ</w:t>
      </w:r>
      <w:r w:rsidRPr="004C2E55">
        <w:rPr>
          <w:rFonts w:asciiTheme="majorBidi" w:hAnsiTheme="majorBidi" w:cstheme="majorBidi"/>
          <w:sz w:val="28"/>
          <w:szCs w:val="28"/>
          <w:rtl/>
        </w:rPr>
        <w:t>. م</w:t>
      </w:r>
      <w:r w:rsidR="00264513" w:rsidRPr="004C2E55">
        <w:rPr>
          <w:rFonts w:asciiTheme="majorBidi" w:hAnsiTheme="majorBidi" w:cstheme="majorBidi"/>
          <w:sz w:val="28"/>
          <w:szCs w:val="28"/>
          <w:rtl/>
        </w:rPr>
        <w:t>ن ذلك قام بتجميد البرلمان ثم بحل</w:t>
      </w:r>
      <w:r w:rsidRPr="004C2E55">
        <w:rPr>
          <w:rFonts w:asciiTheme="majorBidi" w:hAnsiTheme="majorBidi" w:cstheme="majorBidi"/>
          <w:sz w:val="28"/>
          <w:szCs w:val="28"/>
          <w:rtl/>
        </w:rPr>
        <w:t xml:space="preserve">ه كما حل </w:t>
      </w:r>
      <w:r w:rsidR="00264513" w:rsidRPr="004C2E55">
        <w:rPr>
          <w:rFonts w:asciiTheme="majorBidi" w:hAnsiTheme="majorBidi" w:cstheme="majorBidi"/>
          <w:sz w:val="28"/>
          <w:szCs w:val="28"/>
          <w:rtl/>
        </w:rPr>
        <w:t>محل</w:t>
      </w:r>
      <w:r w:rsidRPr="004C2E55">
        <w:rPr>
          <w:rFonts w:asciiTheme="majorBidi" w:hAnsiTheme="majorBidi" w:cstheme="majorBidi"/>
          <w:sz w:val="28"/>
          <w:szCs w:val="28"/>
          <w:rtl/>
        </w:rPr>
        <w:t xml:space="preserve"> المشرع وعزل رئيس الحكومة وعين مكانه حكومة جديدة كما قام بحل </w:t>
      </w:r>
      <w:r w:rsidR="00264513" w:rsidRPr="004C2E55">
        <w:rPr>
          <w:rFonts w:asciiTheme="majorBidi" w:hAnsiTheme="majorBidi" w:cstheme="majorBidi"/>
          <w:sz w:val="28"/>
          <w:szCs w:val="28"/>
          <w:rtl/>
        </w:rPr>
        <w:t>هيئة مكافحة الفساد وحل المجلس الأ</w:t>
      </w:r>
      <w:r w:rsidRPr="004C2E55">
        <w:rPr>
          <w:rFonts w:asciiTheme="majorBidi" w:hAnsiTheme="majorBidi" w:cstheme="majorBidi"/>
          <w:sz w:val="28"/>
          <w:szCs w:val="28"/>
          <w:rtl/>
        </w:rPr>
        <w:t xml:space="preserve">على للقضاء </w:t>
      </w:r>
      <w:r w:rsidR="00264513" w:rsidRPr="004C2E55">
        <w:rPr>
          <w:rFonts w:asciiTheme="majorBidi" w:hAnsiTheme="majorBidi" w:cstheme="majorBidi"/>
          <w:sz w:val="28"/>
          <w:szCs w:val="28"/>
          <w:rtl/>
        </w:rPr>
        <w:t>والهيئة العليا المستقلة لل</w:t>
      </w:r>
      <w:r w:rsidRPr="004C2E55">
        <w:rPr>
          <w:rFonts w:asciiTheme="majorBidi" w:hAnsiTheme="majorBidi" w:cstheme="majorBidi"/>
          <w:sz w:val="28"/>
          <w:szCs w:val="28"/>
          <w:rtl/>
        </w:rPr>
        <w:t xml:space="preserve">انتخابات وعوضها </w:t>
      </w:r>
      <w:r w:rsidR="00264513" w:rsidRPr="004C2E55">
        <w:rPr>
          <w:rFonts w:asciiTheme="majorBidi" w:hAnsiTheme="majorBidi" w:cstheme="majorBidi"/>
          <w:sz w:val="28"/>
          <w:szCs w:val="28"/>
          <w:rtl/>
        </w:rPr>
        <w:t>بهيئة أ</w:t>
      </w:r>
      <w:r w:rsidRPr="004C2E55">
        <w:rPr>
          <w:rFonts w:asciiTheme="majorBidi" w:hAnsiTheme="majorBidi" w:cstheme="majorBidi"/>
          <w:sz w:val="28"/>
          <w:szCs w:val="28"/>
          <w:rtl/>
        </w:rPr>
        <w:t>خرى قام بتعيين أعضائها</w:t>
      </w:r>
      <w:r w:rsidR="00264513" w:rsidRPr="004C2E55">
        <w:rPr>
          <w:rFonts w:asciiTheme="majorBidi" w:hAnsiTheme="majorBidi" w:cstheme="majorBidi"/>
          <w:sz w:val="28"/>
          <w:szCs w:val="28"/>
          <w:rtl/>
        </w:rPr>
        <w:t xml:space="preserve"> بنفسه</w:t>
      </w:r>
      <w:r w:rsidRPr="004C2E55">
        <w:rPr>
          <w:rFonts w:asciiTheme="majorBidi" w:hAnsiTheme="majorBidi" w:cstheme="majorBidi"/>
          <w:sz w:val="28"/>
          <w:szCs w:val="28"/>
          <w:rtl/>
        </w:rPr>
        <w:t xml:space="preserve">. كما </w:t>
      </w:r>
      <w:r w:rsidR="00264513" w:rsidRPr="004C2E55">
        <w:rPr>
          <w:rFonts w:asciiTheme="majorBidi" w:hAnsiTheme="majorBidi" w:cstheme="majorBidi"/>
          <w:sz w:val="28"/>
          <w:szCs w:val="28"/>
          <w:rtl/>
        </w:rPr>
        <w:t>أعد</w:t>
      </w:r>
      <w:r w:rsidRPr="004C2E55">
        <w:rPr>
          <w:rFonts w:asciiTheme="majorBidi" w:hAnsiTheme="majorBidi" w:cstheme="majorBidi"/>
          <w:sz w:val="28"/>
          <w:szCs w:val="28"/>
          <w:rtl/>
        </w:rPr>
        <w:t xml:space="preserve"> دستورا جديدا </w:t>
      </w:r>
      <w:r w:rsidR="00264513" w:rsidRPr="004C2E55">
        <w:rPr>
          <w:rFonts w:asciiTheme="majorBidi" w:hAnsiTheme="majorBidi" w:cstheme="majorBidi"/>
          <w:sz w:val="28"/>
          <w:szCs w:val="28"/>
          <w:rtl/>
        </w:rPr>
        <w:t>وقام</w:t>
      </w:r>
      <w:r w:rsidRPr="004C2E55">
        <w:rPr>
          <w:rFonts w:asciiTheme="majorBidi" w:hAnsiTheme="majorBidi" w:cstheme="majorBidi"/>
          <w:sz w:val="28"/>
          <w:szCs w:val="28"/>
          <w:rtl/>
        </w:rPr>
        <w:t xml:space="preserve"> </w:t>
      </w:r>
      <w:r w:rsidR="00AF3189" w:rsidRPr="004C2E55">
        <w:rPr>
          <w:rFonts w:asciiTheme="majorBidi" w:hAnsiTheme="majorBidi" w:cstheme="majorBidi"/>
          <w:sz w:val="28"/>
          <w:szCs w:val="28"/>
          <w:rtl/>
        </w:rPr>
        <w:t>بإصداره</w:t>
      </w:r>
      <w:r w:rsidRPr="004C2E55">
        <w:rPr>
          <w:rFonts w:asciiTheme="majorBidi" w:hAnsiTheme="majorBidi" w:cstheme="majorBidi"/>
          <w:sz w:val="28"/>
          <w:szCs w:val="28"/>
          <w:rtl/>
        </w:rPr>
        <w:t xml:space="preserve"> بعد تنظيم استفتاء</w:t>
      </w:r>
      <w:r w:rsidRPr="004C2E55">
        <w:rPr>
          <w:rFonts w:asciiTheme="majorBidi" w:hAnsiTheme="majorBidi" w:cstheme="majorBidi"/>
          <w:sz w:val="28"/>
          <w:szCs w:val="28"/>
        </w:rPr>
        <w:t>. </w:t>
      </w:r>
    </w:p>
    <w:p w14:paraId="18B4B741" w14:textId="37C4888F" w:rsidR="007D11C0" w:rsidRPr="004C2E55" w:rsidRDefault="00193EDD" w:rsidP="004C2E55">
      <w:pPr>
        <w:bidi/>
        <w:spacing w:after="0" w:line="240" w:lineRule="auto"/>
        <w:jc w:val="both"/>
        <w:rPr>
          <w:rFonts w:asciiTheme="majorBidi" w:eastAsia="Times New Roman" w:hAnsiTheme="majorBidi" w:cstheme="majorBidi"/>
          <w:sz w:val="28"/>
          <w:szCs w:val="28"/>
          <w:rtl/>
          <w:lang w:eastAsia="fr-FR"/>
        </w:rPr>
      </w:pPr>
      <w:r w:rsidRPr="004C2E55">
        <w:rPr>
          <w:rFonts w:asciiTheme="majorBidi" w:eastAsia="Times New Roman" w:hAnsiTheme="majorBidi" w:cstheme="majorBidi"/>
          <w:sz w:val="28"/>
          <w:szCs w:val="28"/>
          <w:rtl/>
          <w:lang w:eastAsia="fr-FR"/>
        </w:rPr>
        <w:t>تعتبر كل هذه الاصلاحات اصلاحات هامة لكن الهدف منها ارساء قواعد الحكم المستبد المؤسس على تجميع كل السلطات في يد رئيس الجمهورية. هذا الرئيس الذي لا يمكن محاسبته</w:t>
      </w:r>
      <w:r w:rsidR="00426F5F" w:rsidRPr="004C2E55">
        <w:rPr>
          <w:rFonts w:asciiTheme="majorBidi" w:eastAsia="Times New Roman" w:hAnsiTheme="majorBidi" w:cstheme="majorBidi"/>
          <w:sz w:val="28"/>
          <w:szCs w:val="28"/>
          <w:rtl/>
          <w:lang w:eastAsia="fr-FR"/>
        </w:rPr>
        <w:t xml:space="preserve"> سواء عند ممارسة مهامه او بعد تخليه عن الرئاسة (الفصل </w:t>
      </w:r>
      <w:r w:rsidR="00BD4EC7" w:rsidRPr="004C2E55">
        <w:rPr>
          <w:rFonts w:asciiTheme="majorBidi" w:eastAsia="Times New Roman" w:hAnsiTheme="majorBidi" w:cstheme="majorBidi"/>
          <w:sz w:val="28"/>
          <w:szCs w:val="28"/>
          <w:rtl/>
          <w:lang w:eastAsia="fr-FR"/>
        </w:rPr>
        <w:t>110</w:t>
      </w:r>
      <w:r w:rsidR="00426F5F" w:rsidRPr="004C2E55">
        <w:rPr>
          <w:rFonts w:asciiTheme="majorBidi" w:eastAsia="Times New Roman" w:hAnsiTheme="majorBidi" w:cstheme="majorBidi"/>
          <w:sz w:val="28"/>
          <w:szCs w:val="28"/>
          <w:rtl/>
          <w:lang w:eastAsia="fr-FR"/>
        </w:rPr>
        <w:t xml:space="preserve"> من دستور 25 جويلية 2022).</w:t>
      </w:r>
      <w:r w:rsidR="007D11C0" w:rsidRPr="004C2E55">
        <w:rPr>
          <w:rFonts w:asciiTheme="majorBidi" w:eastAsia="Times New Roman" w:hAnsiTheme="majorBidi" w:cstheme="majorBidi"/>
          <w:sz w:val="28"/>
          <w:szCs w:val="28"/>
          <w:rtl/>
          <w:lang w:eastAsia="fr-FR"/>
        </w:rPr>
        <w:t xml:space="preserve"> </w:t>
      </w:r>
    </w:p>
    <w:p w14:paraId="7DD4ED64" w14:textId="081E97DD" w:rsidR="00193EDD" w:rsidRPr="004C2E55" w:rsidRDefault="00193EDD" w:rsidP="004C2E55">
      <w:pPr>
        <w:bidi/>
        <w:spacing w:after="0" w:line="240" w:lineRule="auto"/>
        <w:jc w:val="both"/>
        <w:rPr>
          <w:rFonts w:asciiTheme="majorBidi" w:eastAsia="Times New Roman" w:hAnsiTheme="majorBidi" w:cstheme="majorBidi"/>
          <w:sz w:val="28"/>
          <w:szCs w:val="28"/>
          <w:lang w:eastAsia="fr-FR"/>
        </w:rPr>
      </w:pPr>
      <w:r w:rsidRPr="004C2E55">
        <w:rPr>
          <w:rFonts w:asciiTheme="majorBidi" w:eastAsia="Times New Roman" w:hAnsiTheme="majorBidi" w:cstheme="majorBidi"/>
          <w:sz w:val="28"/>
          <w:szCs w:val="28"/>
          <w:lang w:eastAsia="fr-FR"/>
        </w:rPr>
        <w:t> </w:t>
      </w:r>
    </w:p>
    <w:p w14:paraId="560A51D6" w14:textId="401EA774" w:rsidR="002A75BD" w:rsidRPr="004C2E55" w:rsidRDefault="002A75BD"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t xml:space="preserve">-حقوق </w:t>
      </w:r>
      <w:r w:rsidR="00AD0311" w:rsidRPr="004C2E55">
        <w:rPr>
          <w:rFonts w:asciiTheme="majorBidi" w:hAnsiTheme="majorBidi" w:cstheme="majorBidi"/>
          <w:i/>
          <w:iCs/>
          <w:sz w:val="28"/>
          <w:szCs w:val="28"/>
          <w:rtl/>
        </w:rPr>
        <w:t>النساء</w:t>
      </w:r>
    </w:p>
    <w:p w14:paraId="2A376F59" w14:textId="07619B1A" w:rsidR="00414395" w:rsidRPr="004C2E55" w:rsidRDefault="002A75BD"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sz w:val="28"/>
          <w:szCs w:val="28"/>
          <w:rtl/>
        </w:rPr>
        <w:t xml:space="preserve">جاء في </w:t>
      </w:r>
      <w:proofErr w:type="gramStart"/>
      <w:r w:rsidRPr="004C2E55">
        <w:rPr>
          <w:rFonts w:asciiTheme="majorBidi" w:hAnsiTheme="majorBidi" w:cstheme="majorBidi"/>
          <w:sz w:val="28"/>
          <w:szCs w:val="28"/>
          <w:rtl/>
        </w:rPr>
        <w:t>التقرير :</w:t>
      </w:r>
      <w:proofErr w:type="gramEnd"/>
      <w:r w:rsidRPr="004C2E55">
        <w:rPr>
          <w:rFonts w:asciiTheme="majorBidi" w:hAnsiTheme="majorBidi" w:cstheme="majorBidi"/>
          <w:sz w:val="28"/>
          <w:szCs w:val="28"/>
          <w:rtl/>
        </w:rPr>
        <w:t xml:space="preserve"> "</w:t>
      </w:r>
      <w:r w:rsidR="00414395" w:rsidRPr="00C524CC">
        <w:rPr>
          <w:rFonts w:asciiTheme="majorBidi" w:hAnsiTheme="majorBidi" w:cstheme="majorBidi"/>
          <w:i/>
          <w:iCs/>
          <w:color w:val="0070C0"/>
          <w:sz w:val="28"/>
          <w:szCs w:val="28"/>
          <w:rtl/>
        </w:rPr>
        <w:t xml:space="preserve">أقر الدستور الجديد المساواة بين جميع المواطنين والمواطنات ونص على التزام الدّولة بحماية الحقوق المكتسبة للمرأة والعمل على دعمها وتطويرها كما أقر أن الدولة ضامنة لتكافؤ الفرص بين الرّجل والمرأة </w:t>
      </w:r>
      <w:r w:rsidRPr="00C524CC">
        <w:rPr>
          <w:rFonts w:asciiTheme="majorBidi" w:hAnsiTheme="majorBidi" w:cstheme="majorBidi"/>
          <w:i/>
          <w:iCs/>
          <w:color w:val="0070C0"/>
          <w:sz w:val="28"/>
          <w:szCs w:val="28"/>
          <w:rtl/>
        </w:rPr>
        <w:t>في تحمّل مختلف المسؤوليّات وفي جميع المجالات. وأن الدولة تسعى إلى تحقيق التّناصف بين المرأة والرّجل في المجالس المنتخبة</w:t>
      </w:r>
      <w:r w:rsidR="00D71BF0" w:rsidRPr="004C2E55">
        <w:rPr>
          <w:rStyle w:val="Appelnotedebasdep"/>
          <w:rFonts w:asciiTheme="majorBidi" w:hAnsiTheme="majorBidi" w:cstheme="majorBidi"/>
          <w:sz w:val="28"/>
          <w:szCs w:val="28"/>
          <w:rtl/>
        </w:rPr>
        <w:footnoteReference w:id="11"/>
      </w:r>
      <w:r w:rsidRPr="004C2E55">
        <w:rPr>
          <w:rFonts w:asciiTheme="majorBidi" w:hAnsiTheme="majorBidi" w:cstheme="majorBidi"/>
          <w:i/>
          <w:iCs/>
          <w:sz w:val="28"/>
          <w:szCs w:val="28"/>
          <w:rtl/>
        </w:rPr>
        <w:t>."</w:t>
      </w:r>
      <w:r w:rsidR="0088380B" w:rsidRPr="004C2E55">
        <w:rPr>
          <w:rFonts w:asciiTheme="majorBidi" w:hAnsiTheme="majorBidi" w:cstheme="majorBidi"/>
          <w:i/>
          <w:iCs/>
          <w:sz w:val="24"/>
          <w:szCs w:val="24"/>
          <w:highlight w:val="lightGray"/>
          <w:rtl/>
        </w:rPr>
        <w:t>(الفقرة 125).</w:t>
      </w:r>
    </w:p>
    <w:p w14:paraId="3B8DFB0B" w14:textId="514D71BE" w:rsidR="0024734B" w:rsidRPr="004C2E55" w:rsidRDefault="0088380B"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لا تعتبر هذه المقتضيات من المكاسب التي جاء بها دستور 2022. اذ وقع التنصيص عليها ضمن دستور 2014.</w:t>
      </w:r>
    </w:p>
    <w:p w14:paraId="37D4EEFB" w14:textId="5F13E8DA" w:rsidR="0024734B" w:rsidRPr="004C2E55" w:rsidRDefault="0024734B"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ومع ذلك، فإن تطبيق هذه المقتضيات قد </w:t>
      </w:r>
      <w:r w:rsidR="009D4508" w:rsidRPr="004C2E55">
        <w:rPr>
          <w:rFonts w:asciiTheme="majorBidi" w:hAnsiTheme="majorBidi" w:cstheme="majorBidi"/>
          <w:sz w:val="28"/>
          <w:szCs w:val="28"/>
          <w:rtl/>
        </w:rPr>
        <w:t xml:space="preserve">يحتاج وقتا طويلا </w:t>
      </w:r>
      <w:r w:rsidRPr="004C2E55">
        <w:rPr>
          <w:rFonts w:asciiTheme="majorBidi" w:hAnsiTheme="majorBidi" w:cstheme="majorBidi"/>
          <w:sz w:val="28"/>
          <w:szCs w:val="28"/>
          <w:rtl/>
        </w:rPr>
        <w:t>ويمكن أن تمثل بقية أحكام الدستور الجديد</w:t>
      </w:r>
      <w:r w:rsidR="009D4508" w:rsidRPr="004C2E55">
        <w:rPr>
          <w:rFonts w:asciiTheme="majorBidi" w:hAnsiTheme="majorBidi" w:cstheme="majorBidi"/>
          <w:sz w:val="28"/>
          <w:szCs w:val="28"/>
          <w:rtl/>
        </w:rPr>
        <w:t xml:space="preserve"> عقبة أمام تطبيقها</w:t>
      </w:r>
      <w:r w:rsidRPr="004C2E55">
        <w:rPr>
          <w:rFonts w:asciiTheme="majorBidi" w:hAnsiTheme="majorBidi" w:cstheme="majorBidi"/>
          <w:sz w:val="28"/>
          <w:szCs w:val="28"/>
          <w:rtl/>
        </w:rPr>
        <w:t xml:space="preserve">، ولا سيما </w:t>
      </w:r>
      <w:r w:rsidR="009D4508" w:rsidRPr="004C2E55">
        <w:rPr>
          <w:rFonts w:asciiTheme="majorBidi" w:hAnsiTheme="majorBidi" w:cstheme="majorBidi"/>
          <w:sz w:val="28"/>
          <w:szCs w:val="28"/>
          <w:rtl/>
        </w:rPr>
        <w:t>و</w:t>
      </w:r>
      <w:r w:rsidRPr="004C2E55">
        <w:rPr>
          <w:rFonts w:asciiTheme="majorBidi" w:hAnsiTheme="majorBidi" w:cstheme="majorBidi"/>
          <w:sz w:val="28"/>
          <w:szCs w:val="28"/>
          <w:rtl/>
        </w:rPr>
        <w:t xml:space="preserve">أن خطاب رئيس الجمهورية لا يبدو مناصرا على الإطلاق لحقوق المرأة. وللتذكير فإن تونس قد صادقت على بروتوكول مابوتو منذ سنة 2018، ومع ذلك لا يزال التشريع التونسي تمييزيا: فالزوج هو دائما رب الأسرة وهو الذي يمارس الولاية على الأطفال، ويعتبر الزوج المستفيد الأول والوحيد من </w:t>
      </w:r>
      <w:r w:rsidR="00AD0311" w:rsidRPr="004C2E55">
        <w:rPr>
          <w:rFonts w:asciiTheme="majorBidi" w:hAnsiTheme="majorBidi" w:cstheme="majorBidi"/>
          <w:sz w:val="28"/>
          <w:szCs w:val="28"/>
          <w:rtl/>
        </w:rPr>
        <w:t>الامتيازات</w:t>
      </w:r>
      <w:r w:rsidRPr="004C2E55">
        <w:rPr>
          <w:rFonts w:asciiTheme="majorBidi" w:hAnsiTheme="majorBidi" w:cstheme="majorBidi"/>
          <w:sz w:val="28"/>
          <w:szCs w:val="28"/>
          <w:rtl/>
        </w:rPr>
        <w:t xml:space="preserve"> الضريبية المرتبطة بالأسرة، و</w:t>
      </w:r>
      <w:r w:rsidR="00AD0311" w:rsidRPr="004C2E55">
        <w:rPr>
          <w:rFonts w:asciiTheme="majorBidi" w:hAnsiTheme="majorBidi" w:cstheme="majorBidi"/>
          <w:sz w:val="28"/>
          <w:szCs w:val="28"/>
          <w:rtl/>
        </w:rPr>
        <w:t xml:space="preserve">ترث </w:t>
      </w:r>
      <w:r w:rsidR="00426F5F" w:rsidRPr="004C2E55">
        <w:rPr>
          <w:rFonts w:asciiTheme="majorBidi" w:hAnsiTheme="majorBidi" w:cstheme="majorBidi"/>
          <w:sz w:val="28"/>
          <w:szCs w:val="28"/>
          <w:rtl/>
        </w:rPr>
        <w:t>النساء</w:t>
      </w:r>
      <w:r w:rsidRPr="004C2E55">
        <w:rPr>
          <w:rFonts w:asciiTheme="majorBidi" w:hAnsiTheme="majorBidi" w:cstheme="majorBidi"/>
          <w:sz w:val="28"/>
          <w:szCs w:val="28"/>
          <w:rtl/>
        </w:rPr>
        <w:t xml:space="preserve"> </w:t>
      </w:r>
      <w:r w:rsidR="00AD0311" w:rsidRPr="004C2E55">
        <w:rPr>
          <w:rFonts w:asciiTheme="majorBidi" w:hAnsiTheme="majorBidi" w:cstheme="majorBidi"/>
          <w:sz w:val="28"/>
          <w:szCs w:val="28"/>
          <w:rtl/>
        </w:rPr>
        <w:t>دائما نصف حصة الرج</w:t>
      </w:r>
      <w:r w:rsidR="00426F5F" w:rsidRPr="004C2E55">
        <w:rPr>
          <w:rFonts w:asciiTheme="majorBidi" w:hAnsiTheme="majorBidi" w:cstheme="majorBidi"/>
          <w:sz w:val="28"/>
          <w:szCs w:val="28"/>
          <w:rtl/>
        </w:rPr>
        <w:t>ا</w:t>
      </w:r>
      <w:r w:rsidR="00AD0311" w:rsidRPr="004C2E55">
        <w:rPr>
          <w:rFonts w:asciiTheme="majorBidi" w:hAnsiTheme="majorBidi" w:cstheme="majorBidi"/>
          <w:sz w:val="28"/>
          <w:szCs w:val="28"/>
          <w:rtl/>
        </w:rPr>
        <w:t>ل، و</w:t>
      </w:r>
      <w:r w:rsidRPr="004C2E55">
        <w:rPr>
          <w:rFonts w:asciiTheme="majorBidi" w:hAnsiTheme="majorBidi" w:cstheme="majorBidi"/>
          <w:sz w:val="28"/>
          <w:szCs w:val="28"/>
          <w:rtl/>
        </w:rPr>
        <w:t xml:space="preserve">لا يمنحن جنسيتهن تلقائيا </w:t>
      </w:r>
      <w:r w:rsidR="00426F5F" w:rsidRPr="004C2E55">
        <w:rPr>
          <w:rFonts w:asciiTheme="majorBidi" w:hAnsiTheme="majorBidi" w:cstheme="majorBidi"/>
          <w:sz w:val="28"/>
          <w:szCs w:val="28"/>
          <w:rtl/>
        </w:rPr>
        <w:t>لأزواجهن</w:t>
      </w:r>
      <w:r w:rsidRPr="004C2E55">
        <w:rPr>
          <w:rFonts w:asciiTheme="majorBidi" w:hAnsiTheme="majorBidi" w:cstheme="majorBidi"/>
          <w:sz w:val="28"/>
          <w:szCs w:val="28"/>
          <w:rtl/>
        </w:rPr>
        <w:t xml:space="preserve"> غير التونسي</w:t>
      </w:r>
      <w:r w:rsidR="00426F5F" w:rsidRPr="004C2E55">
        <w:rPr>
          <w:rFonts w:asciiTheme="majorBidi" w:hAnsiTheme="majorBidi" w:cstheme="majorBidi"/>
          <w:sz w:val="28"/>
          <w:szCs w:val="28"/>
          <w:rtl/>
        </w:rPr>
        <w:t>ين</w:t>
      </w:r>
      <w:r w:rsidRPr="004C2E55">
        <w:rPr>
          <w:rFonts w:asciiTheme="majorBidi" w:hAnsiTheme="majorBidi" w:cstheme="majorBidi"/>
          <w:sz w:val="28"/>
          <w:szCs w:val="28"/>
          <w:rtl/>
        </w:rPr>
        <w:t>، على عكس الرجل التونسي... وأخيرا، وقعت تونس على اتفاقية اسطنبول لكن السلطات لم تص</w:t>
      </w:r>
      <w:r w:rsidR="00AD0311" w:rsidRPr="004C2E55">
        <w:rPr>
          <w:rFonts w:asciiTheme="majorBidi" w:hAnsiTheme="majorBidi" w:cstheme="majorBidi"/>
          <w:sz w:val="28"/>
          <w:szCs w:val="28"/>
          <w:rtl/>
        </w:rPr>
        <w:t>ا</w:t>
      </w:r>
      <w:r w:rsidRPr="004C2E55">
        <w:rPr>
          <w:rFonts w:asciiTheme="majorBidi" w:hAnsiTheme="majorBidi" w:cstheme="majorBidi"/>
          <w:sz w:val="28"/>
          <w:szCs w:val="28"/>
          <w:rtl/>
        </w:rPr>
        <w:t>دق عليها</w:t>
      </w:r>
      <w:r w:rsidRPr="004C2E55">
        <w:rPr>
          <w:rFonts w:asciiTheme="majorBidi" w:hAnsiTheme="majorBidi" w:cstheme="majorBidi"/>
          <w:sz w:val="28"/>
          <w:szCs w:val="28"/>
        </w:rPr>
        <w:t>!</w:t>
      </w:r>
      <w:r w:rsidR="00426F5F" w:rsidRPr="004C2E55">
        <w:rPr>
          <w:rFonts w:asciiTheme="majorBidi" w:hAnsiTheme="majorBidi" w:cstheme="majorBidi"/>
          <w:sz w:val="28"/>
          <w:szCs w:val="28"/>
          <w:rtl/>
        </w:rPr>
        <w:t xml:space="preserve"> لحد الان.</w:t>
      </w:r>
    </w:p>
    <w:p w14:paraId="734BFEF9" w14:textId="77777777" w:rsidR="00AD0311" w:rsidRPr="004C2E55" w:rsidRDefault="00AD0311" w:rsidP="004C2E55">
      <w:pPr>
        <w:bidi/>
        <w:spacing w:after="0" w:line="240" w:lineRule="auto"/>
        <w:jc w:val="both"/>
        <w:rPr>
          <w:rFonts w:asciiTheme="majorBidi" w:hAnsiTheme="majorBidi" w:cstheme="majorBidi"/>
          <w:sz w:val="28"/>
          <w:szCs w:val="28"/>
          <w:rtl/>
        </w:rPr>
      </w:pPr>
    </w:p>
    <w:p w14:paraId="45817D2F" w14:textId="3A0C946A" w:rsidR="00AD0311" w:rsidRPr="004C2E55" w:rsidRDefault="00AD0311"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sz w:val="28"/>
          <w:szCs w:val="28"/>
          <w:rtl/>
        </w:rPr>
        <w:t>-</w:t>
      </w:r>
      <w:r w:rsidRPr="004C2E55">
        <w:rPr>
          <w:rFonts w:asciiTheme="majorBidi" w:hAnsiTheme="majorBidi" w:cstheme="majorBidi"/>
          <w:i/>
          <w:iCs/>
          <w:sz w:val="28"/>
          <w:szCs w:val="28"/>
          <w:rtl/>
        </w:rPr>
        <w:t>المسألة المتعلقة بالمخدرات والاكتظاظ بالسجون</w:t>
      </w:r>
    </w:p>
    <w:p w14:paraId="5E51227D" w14:textId="02881D25" w:rsidR="00AD0311" w:rsidRPr="004C2E55" w:rsidRDefault="00AD0311"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جاء بتقرير الدولة التونسية بأن القانون عدد 1992-52 المتعلق بالمخدرات كما تم تنقيحه بمقتضى:</w:t>
      </w:r>
    </w:p>
    <w:p w14:paraId="43B72E9E" w14:textId="3B8AC627" w:rsidR="00924455" w:rsidRPr="004C2E55" w:rsidRDefault="00AD0311"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i/>
          <w:iCs/>
          <w:sz w:val="28"/>
          <w:szCs w:val="28"/>
          <w:rtl/>
        </w:rPr>
        <w:t xml:space="preserve">" </w:t>
      </w:r>
      <w:r w:rsidRPr="00C524CC">
        <w:rPr>
          <w:rFonts w:asciiTheme="majorBidi" w:hAnsiTheme="majorBidi" w:cstheme="majorBidi"/>
          <w:i/>
          <w:iCs/>
          <w:color w:val="0070C0"/>
          <w:sz w:val="28"/>
          <w:szCs w:val="28"/>
          <w:rtl/>
        </w:rPr>
        <w:t>القانون عدد 39 لسنة 2017 المتعلق بالمخدرات مكن القاضي من سلطة تقديرية أوسع في تفريد العقوبة في صورة الاستهلاك لأول مرّة</w:t>
      </w:r>
      <w:r w:rsidRPr="004C2E55">
        <w:rPr>
          <w:rFonts w:asciiTheme="majorBidi" w:hAnsiTheme="majorBidi" w:cstheme="majorBidi"/>
          <w:i/>
          <w:iCs/>
          <w:sz w:val="28"/>
          <w:szCs w:val="28"/>
        </w:rPr>
        <w:t>.</w:t>
      </w:r>
      <w:r w:rsidRPr="004C2E55">
        <w:rPr>
          <w:rFonts w:asciiTheme="majorBidi" w:hAnsiTheme="majorBidi" w:cstheme="majorBidi"/>
          <w:i/>
          <w:iCs/>
          <w:sz w:val="28"/>
          <w:szCs w:val="28"/>
          <w:rtl/>
        </w:rPr>
        <w:t xml:space="preserve">" </w:t>
      </w:r>
      <w:r w:rsidR="00D71BF0" w:rsidRPr="004C2E55">
        <w:rPr>
          <w:rStyle w:val="Appelnotedebasdep"/>
          <w:rFonts w:asciiTheme="majorBidi" w:hAnsiTheme="majorBidi" w:cstheme="majorBidi"/>
          <w:sz w:val="28"/>
          <w:szCs w:val="28"/>
          <w:rtl/>
        </w:rPr>
        <w:footnoteReference w:id="12"/>
      </w:r>
      <w:r w:rsidR="00D71BF0" w:rsidRPr="004C2E55">
        <w:rPr>
          <w:rFonts w:asciiTheme="majorBidi" w:hAnsiTheme="majorBidi" w:cstheme="majorBidi"/>
          <w:sz w:val="24"/>
          <w:szCs w:val="24"/>
          <w:highlight w:val="lightGray"/>
          <w:rtl/>
        </w:rPr>
        <w:t xml:space="preserve"> </w:t>
      </w:r>
      <w:r w:rsidRPr="004C2E55">
        <w:rPr>
          <w:rFonts w:asciiTheme="majorBidi" w:hAnsiTheme="majorBidi" w:cstheme="majorBidi"/>
          <w:sz w:val="24"/>
          <w:szCs w:val="24"/>
          <w:highlight w:val="lightGray"/>
          <w:rtl/>
        </w:rPr>
        <w:t>(الفقرة 97)</w:t>
      </w:r>
      <w:r w:rsidR="00924455" w:rsidRPr="004C2E55">
        <w:rPr>
          <w:rFonts w:asciiTheme="majorBidi" w:hAnsiTheme="majorBidi" w:cstheme="majorBidi"/>
          <w:sz w:val="24"/>
          <w:szCs w:val="24"/>
          <w:highlight w:val="lightGray"/>
          <w:rtl/>
        </w:rPr>
        <w:t>.</w:t>
      </w:r>
    </w:p>
    <w:p w14:paraId="42E390BB" w14:textId="3A8EA7F9" w:rsidR="00924455" w:rsidRPr="004C2E55" w:rsidRDefault="00924455"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وقد برر هذا التنقيح بهدف السماح للشباب (الطلبة والموظفين ...) بالاستفادة من الشروط المخففة واستبدال عقوباتهم بتأجيل التنفيذ. وهذا من شأنه أن يقلل من عدد المساجين بمقدار الثلثين. ومع ذلك، وبعد مرور 5 سنوات على دخول التنقيح حيز التنفيذ، لا يزال المساجين الذين يتعاطون المخدرات يمثلون ثلث المسجونين</w:t>
      </w:r>
      <w:r w:rsidR="00426F5F" w:rsidRPr="004C2E55">
        <w:rPr>
          <w:rFonts w:asciiTheme="majorBidi" w:hAnsiTheme="majorBidi" w:cstheme="majorBidi"/>
          <w:sz w:val="28"/>
          <w:szCs w:val="28"/>
          <w:rtl/>
        </w:rPr>
        <w:t xml:space="preserve"> والموقوفين</w:t>
      </w:r>
      <w:r w:rsidRPr="004C2E55">
        <w:rPr>
          <w:rFonts w:asciiTheme="majorBidi" w:hAnsiTheme="majorBidi" w:cstheme="majorBidi"/>
          <w:sz w:val="28"/>
          <w:szCs w:val="28"/>
          <w:rtl/>
        </w:rPr>
        <w:t xml:space="preserve">. ويفسر ذلك بأن الغالبية العظمى من الأشخاص الذين تم تتبعهم قضائيا منذ سنة 2017 يحاكمون </w:t>
      </w:r>
      <w:r w:rsidRPr="004C2E55">
        <w:rPr>
          <w:rFonts w:asciiTheme="majorBidi" w:hAnsiTheme="majorBidi" w:cstheme="majorBidi"/>
          <w:sz w:val="28"/>
          <w:szCs w:val="28"/>
          <w:rtl/>
        </w:rPr>
        <w:lastRenderedPageBreak/>
        <w:t>بتهمة تعاطي المخدرات والاتجار بها، وهذا يؤدي إلى ايقافهم لفترة طويلة غالبا ما تتجاوز عاما قبل صدور الحكم، وبالطبع لم يعد بإمكانهم الاستفادة من الشروط المخففة</w:t>
      </w:r>
      <w:r w:rsidRPr="004C2E55">
        <w:rPr>
          <w:rFonts w:asciiTheme="majorBidi" w:hAnsiTheme="majorBidi" w:cstheme="majorBidi"/>
          <w:sz w:val="28"/>
          <w:szCs w:val="28"/>
        </w:rPr>
        <w:t>!</w:t>
      </w:r>
    </w:p>
    <w:p w14:paraId="24E75576" w14:textId="77777777" w:rsidR="006A39B2" w:rsidRPr="004C2E55" w:rsidRDefault="006A39B2" w:rsidP="004C2E55">
      <w:pPr>
        <w:bidi/>
        <w:spacing w:after="0" w:line="240" w:lineRule="auto"/>
        <w:jc w:val="both"/>
        <w:rPr>
          <w:rFonts w:asciiTheme="majorBidi" w:hAnsiTheme="majorBidi" w:cstheme="majorBidi"/>
          <w:sz w:val="28"/>
          <w:szCs w:val="28"/>
        </w:rPr>
      </w:pPr>
    </w:p>
    <w:p w14:paraId="39FC35FA" w14:textId="6A1938C9" w:rsidR="001D66E1" w:rsidRPr="004C2E55" w:rsidRDefault="001D66E1" w:rsidP="004C2E55">
      <w:pPr>
        <w:bidi/>
        <w:spacing w:after="0" w:line="240" w:lineRule="auto"/>
        <w:jc w:val="both"/>
        <w:rPr>
          <w:rFonts w:asciiTheme="majorBidi" w:hAnsiTheme="majorBidi" w:cstheme="majorBidi"/>
          <w:b/>
          <w:bCs/>
          <w:sz w:val="28"/>
          <w:szCs w:val="28"/>
          <w:rtl/>
        </w:rPr>
      </w:pPr>
      <w:r w:rsidRPr="004C2E55">
        <w:rPr>
          <w:rFonts w:asciiTheme="majorBidi" w:hAnsiTheme="majorBidi" w:cstheme="majorBidi"/>
          <w:b/>
          <w:bCs/>
          <w:sz w:val="28"/>
          <w:szCs w:val="28"/>
          <w:rtl/>
        </w:rPr>
        <w:t xml:space="preserve">2.2. الأكاذيب المتعلقة بالإصلاحات </w:t>
      </w:r>
      <w:r w:rsidR="00426F5F" w:rsidRPr="004C2E55">
        <w:rPr>
          <w:rFonts w:asciiTheme="majorBidi" w:hAnsiTheme="majorBidi" w:cstheme="majorBidi"/>
          <w:b/>
          <w:bCs/>
          <w:sz w:val="28"/>
          <w:szCs w:val="28"/>
          <w:rtl/>
        </w:rPr>
        <w:t>المبرمجة</w:t>
      </w:r>
      <w:r w:rsidRPr="004C2E55">
        <w:rPr>
          <w:rFonts w:asciiTheme="majorBidi" w:hAnsiTheme="majorBidi" w:cstheme="majorBidi"/>
          <w:b/>
          <w:bCs/>
          <w:sz w:val="28"/>
          <w:szCs w:val="28"/>
          <w:rtl/>
        </w:rPr>
        <w:t>:</w:t>
      </w:r>
    </w:p>
    <w:p w14:paraId="390E99B6" w14:textId="0BED6471" w:rsidR="00EA22D7" w:rsidRPr="004C2E55" w:rsidRDefault="00EA22D7" w:rsidP="004C2E55">
      <w:pPr>
        <w:pStyle w:val="Paragraphedeliste"/>
        <w:numPr>
          <w:ilvl w:val="0"/>
          <w:numId w:val="1"/>
        </w:num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t>مراجعة السياسة الجنائية</w:t>
      </w:r>
    </w:p>
    <w:p w14:paraId="2599E848" w14:textId="26C730B0" w:rsidR="009F7005" w:rsidRPr="004C2E55" w:rsidRDefault="00BD2011" w:rsidP="004C2E55">
      <w:pPr>
        <w:bidi/>
        <w:spacing w:after="0" w:line="240" w:lineRule="auto"/>
        <w:jc w:val="both"/>
        <w:rPr>
          <w:rFonts w:asciiTheme="majorBidi" w:hAnsiTheme="majorBidi" w:cstheme="majorBidi"/>
          <w:sz w:val="28"/>
          <w:szCs w:val="28"/>
          <w:rtl/>
        </w:rPr>
      </w:pPr>
      <w:r w:rsidRPr="00C524CC">
        <w:rPr>
          <w:rFonts w:asciiTheme="majorBidi" w:hAnsiTheme="majorBidi" w:cstheme="majorBidi"/>
          <w:i/>
          <w:iCs/>
          <w:color w:val="0070C0"/>
          <w:sz w:val="28"/>
          <w:szCs w:val="28"/>
          <w:rtl/>
        </w:rPr>
        <w:t>"</w:t>
      </w:r>
      <w:r w:rsidR="00EA22D7" w:rsidRPr="00C524CC">
        <w:rPr>
          <w:rFonts w:asciiTheme="majorBidi" w:hAnsiTheme="majorBidi" w:cstheme="majorBidi"/>
          <w:i/>
          <w:iCs/>
          <w:color w:val="0070C0"/>
          <w:sz w:val="28"/>
          <w:szCs w:val="28"/>
          <w:rtl/>
        </w:rPr>
        <w:t xml:space="preserve">تعمل تونس حاليا على مراجعة المجلة الجزائية وفقا للمعايير الدولية بما في ذلك الفصل 101 مكرر المتعلق بمفهوم </w:t>
      </w:r>
      <w:r w:rsidR="00D71BF0" w:rsidRPr="00C524CC">
        <w:rPr>
          <w:rFonts w:asciiTheme="majorBidi" w:hAnsiTheme="majorBidi" w:cstheme="majorBidi"/>
          <w:i/>
          <w:iCs/>
          <w:color w:val="0070C0"/>
          <w:sz w:val="28"/>
          <w:szCs w:val="28"/>
          <w:rtl/>
        </w:rPr>
        <w:t>التعذيب</w:t>
      </w:r>
      <w:r w:rsidR="00D71BF0" w:rsidRPr="004C2E55">
        <w:rPr>
          <w:rFonts w:asciiTheme="majorBidi" w:hAnsiTheme="majorBidi" w:cstheme="majorBidi"/>
          <w:i/>
          <w:iCs/>
          <w:sz w:val="28"/>
          <w:szCs w:val="28"/>
        </w:rPr>
        <w:t>.</w:t>
      </w:r>
      <w:r w:rsidRPr="004C2E55">
        <w:rPr>
          <w:rFonts w:asciiTheme="majorBidi" w:hAnsiTheme="majorBidi" w:cstheme="majorBidi"/>
          <w:i/>
          <w:iCs/>
          <w:sz w:val="28"/>
          <w:szCs w:val="28"/>
          <w:rtl/>
        </w:rPr>
        <w:t>"</w:t>
      </w:r>
      <w:r w:rsidR="00D71BF0" w:rsidRPr="004C2E55">
        <w:rPr>
          <w:rStyle w:val="Appelnotedebasdep"/>
          <w:rFonts w:asciiTheme="majorBidi" w:hAnsiTheme="majorBidi" w:cstheme="majorBidi"/>
          <w:sz w:val="28"/>
          <w:szCs w:val="28"/>
          <w:rtl/>
        </w:rPr>
        <w:t xml:space="preserve"> </w:t>
      </w:r>
      <w:r w:rsidR="00D71BF0" w:rsidRPr="004C2E55">
        <w:rPr>
          <w:rStyle w:val="Appelnotedebasdep"/>
          <w:rFonts w:asciiTheme="majorBidi" w:hAnsiTheme="majorBidi" w:cstheme="majorBidi"/>
          <w:sz w:val="28"/>
          <w:szCs w:val="28"/>
          <w:rtl/>
        </w:rPr>
        <w:footnoteReference w:id="13"/>
      </w:r>
      <w:r w:rsidR="00D71BF0" w:rsidRPr="004C2E55">
        <w:rPr>
          <w:rFonts w:asciiTheme="majorBidi" w:hAnsiTheme="majorBidi" w:cstheme="majorBidi"/>
          <w:sz w:val="24"/>
          <w:szCs w:val="24"/>
          <w:highlight w:val="lightGray"/>
          <w:rtl/>
        </w:rPr>
        <w:t xml:space="preserve"> </w:t>
      </w:r>
      <w:r w:rsidR="00EA22D7" w:rsidRPr="004C2E55">
        <w:rPr>
          <w:rFonts w:asciiTheme="majorBidi" w:hAnsiTheme="majorBidi" w:cstheme="majorBidi"/>
          <w:sz w:val="24"/>
          <w:szCs w:val="24"/>
          <w:highlight w:val="lightGray"/>
          <w:rtl/>
        </w:rPr>
        <w:t>(الفقرة 59)</w:t>
      </w:r>
    </w:p>
    <w:p w14:paraId="1C70C602" w14:textId="049F7A05" w:rsidR="009F7005" w:rsidRPr="004C2E55" w:rsidRDefault="009F7005"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هذا التصريح عار عن الصحة. اذ لقد بدأ هذا العمل بالفعل منذ سنة</w:t>
      </w:r>
      <w:r w:rsidR="00592D9C" w:rsidRPr="004C2E55">
        <w:rPr>
          <w:rFonts w:asciiTheme="majorBidi" w:hAnsiTheme="majorBidi" w:cstheme="majorBidi"/>
          <w:sz w:val="28"/>
          <w:szCs w:val="28"/>
          <w:rtl/>
        </w:rPr>
        <w:t xml:space="preserve"> 2014</w:t>
      </w:r>
      <w:r w:rsidRPr="004C2E55">
        <w:rPr>
          <w:rFonts w:asciiTheme="majorBidi" w:hAnsiTheme="majorBidi" w:cstheme="majorBidi"/>
          <w:sz w:val="28"/>
          <w:szCs w:val="28"/>
          <w:rtl/>
        </w:rPr>
        <w:t xml:space="preserve">، ولم نر أي نتائج منذ ذلك الحين. بالإضافة لذلك، فإن اللجنة المكلفة بإصلاح مجلة الإجراءات </w:t>
      </w:r>
      <w:r w:rsidR="00592D9C" w:rsidRPr="004C2E55">
        <w:rPr>
          <w:rFonts w:asciiTheme="majorBidi" w:hAnsiTheme="majorBidi" w:cstheme="majorBidi"/>
          <w:sz w:val="28"/>
          <w:szCs w:val="28"/>
          <w:rtl/>
        </w:rPr>
        <w:t>الجزائية</w:t>
      </w:r>
      <w:r w:rsidRPr="004C2E55">
        <w:rPr>
          <w:rFonts w:asciiTheme="majorBidi" w:hAnsiTheme="majorBidi" w:cstheme="majorBidi"/>
          <w:sz w:val="28"/>
          <w:szCs w:val="28"/>
          <w:rtl/>
        </w:rPr>
        <w:t xml:space="preserve"> قد </w:t>
      </w:r>
      <w:r w:rsidR="00592D9C" w:rsidRPr="004C2E55">
        <w:rPr>
          <w:rFonts w:asciiTheme="majorBidi" w:hAnsiTheme="majorBidi" w:cstheme="majorBidi"/>
          <w:sz w:val="28"/>
          <w:szCs w:val="28"/>
          <w:rtl/>
        </w:rPr>
        <w:t>أتمت</w:t>
      </w:r>
      <w:r w:rsidRPr="004C2E55">
        <w:rPr>
          <w:rFonts w:asciiTheme="majorBidi" w:hAnsiTheme="majorBidi" w:cstheme="majorBidi"/>
          <w:sz w:val="28"/>
          <w:szCs w:val="28"/>
          <w:rtl/>
        </w:rPr>
        <w:t xml:space="preserve"> بالفعل تقريرها منذ </w:t>
      </w:r>
      <w:r w:rsidR="00592D9C" w:rsidRPr="004C2E55">
        <w:rPr>
          <w:rFonts w:asciiTheme="majorBidi" w:hAnsiTheme="majorBidi" w:cstheme="majorBidi"/>
          <w:sz w:val="28"/>
          <w:szCs w:val="28"/>
          <w:rtl/>
        </w:rPr>
        <w:t>سنة</w:t>
      </w:r>
      <w:r w:rsidRPr="004C2E55">
        <w:rPr>
          <w:rFonts w:asciiTheme="majorBidi" w:hAnsiTheme="majorBidi" w:cstheme="majorBidi"/>
          <w:sz w:val="28"/>
          <w:szCs w:val="28"/>
          <w:rtl/>
        </w:rPr>
        <w:t xml:space="preserve"> 2018، وكان المشرو</w:t>
      </w:r>
      <w:r w:rsidR="00592D9C" w:rsidRPr="004C2E55">
        <w:rPr>
          <w:rFonts w:asciiTheme="majorBidi" w:hAnsiTheme="majorBidi" w:cstheme="majorBidi"/>
          <w:sz w:val="28"/>
          <w:szCs w:val="28"/>
          <w:rtl/>
        </w:rPr>
        <w:t>ع المذكور موضوع مجلس وزراء صادق</w:t>
      </w:r>
      <w:r w:rsidRPr="004C2E55">
        <w:rPr>
          <w:rFonts w:asciiTheme="majorBidi" w:hAnsiTheme="majorBidi" w:cstheme="majorBidi"/>
          <w:sz w:val="28"/>
          <w:szCs w:val="28"/>
          <w:rtl/>
        </w:rPr>
        <w:t xml:space="preserve"> عليه بالفعل، لكن السلطة القائمة لم </w:t>
      </w:r>
      <w:r w:rsidR="00592D9C" w:rsidRPr="004C2E55">
        <w:rPr>
          <w:rFonts w:asciiTheme="majorBidi" w:hAnsiTheme="majorBidi" w:cstheme="majorBidi"/>
          <w:sz w:val="28"/>
          <w:szCs w:val="28"/>
          <w:rtl/>
        </w:rPr>
        <w:t xml:space="preserve">تقم </w:t>
      </w:r>
      <w:proofErr w:type="spellStart"/>
      <w:r w:rsidR="00426F5F" w:rsidRPr="004C2E55">
        <w:rPr>
          <w:rFonts w:asciiTheme="majorBidi" w:hAnsiTheme="majorBidi" w:cstheme="majorBidi"/>
          <w:sz w:val="28"/>
          <w:szCs w:val="28"/>
          <w:rtl/>
        </w:rPr>
        <w:t>باقراره</w:t>
      </w:r>
      <w:proofErr w:type="spellEnd"/>
      <w:r w:rsidR="00592D9C" w:rsidRPr="004C2E55">
        <w:rPr>
          <w:rFonts w:asciiTheme="majorBidi" w:hAnsiTheme="majorBidi" w:cstheme="majorBidi"/>
          <w:sz w:val="28"/>
          <w:szCs w:val="28"/>
          <w:rtl/>
        </w:rPr>
        <w:t xml:space="preserve"> عليه</w:t>
      </w:r>
      <w:r w:rsidRPr="004C2E55">
        <w:rPr>
          <w:rFonts w:asciiTheme="majorBidi" w:hAnsiTheme="majorBidi" w:cstheme="majorBidi"/>
          <w:sz w:val="28"/>
          <w:szCs w:val="28"/>
          <w:rtl/>
        </w:rPr>
        <w:t xml:space="preserve"> ولم </w:t>
      </w:r>
      <w:r w:rsidR="00592D9C" w:rsidRPr="004C2E55">
        <w:rPr>
          <w:rFonts w:asciiTheme="majorBidi" w:hAnsiTheme="majorBidi" w:cstheme="majorBidi"/>
          <w:sz w:val="28"/>
          <w:szCs w:val="28"/>
          <w:rtl/>
        </w:rPr>
        <w:t>تقم بإصداره</w:t>
      </w:r>
      <w:r w:rsidRPr="004C2E55">
        <w:rPr>
          <w:rFonts w:asciiTheme="majorBidi" w:hAnsiTheme="majorBidi" w:cstheme="majorBidi"/>
          <w:sz w:val="28"/>
          <w:szCs w:val="28"/>
          <w:rtl/>
        </w:rPr>
        <w:t xml:space="preserve"> </w:t>
      </w:r>
      <w:r w:rsidR="00592D9C" w:rsidRPr="004C2E55">
        <w:rPr>
          <w:rFonts w:asciiTheme="majorBidi" w:hAnsiTheme="majorBidi" w:cstheme="majorBidi"/>
          <w:sz w:val="28"/>
          <w:szCs w:val="28"/>
          <w:rtl/>
        </w:rPr>
        <w:t>بمقتضى</w:t>
      </w:r>
      <w:r w:rsidRPr="004C2E55">
        <w:rPr>
          <w:rFonts w:asciiTheme="majorBidi" w:hAnsiTheme="majorBidi" w:cstheme="majorBidi"/>
          <w:sz w:val="28"/>
          <w:szCs w:val="28"/>
          <w:rtl/>
        </w:rPr>
        <w:t xml:space="preserve"> مرسوم</w:t>
      </w:r>
      <w:r w:rsidRPr="004C2E55">
        <w:rPr>
          <w:rFonts w:asciiTheme="majorBidi" w:hAnsiTheme="majorBidi" w:cstheme="majorBidi"/>
          <w:sz w:val="28"/>
          <w:szCs w:val="28"/>
        </w:rPr>
        <w:t>.</w:t>
      </w:r>
    </w:p>
    <w:p w14:paraId="577D1DC1" w14:textId="265FF527" w:rsidR="00281135" w:rsidRPr="004C2E55" w:rsidRDefault="00BE7467"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علاوة على ذلك، فإن القول بأن الإصلاحات تتم </w:t>
      </w:r>
      <w:r w:rsidR="006A39B2" w:rsidRPr="004C2E55">
        <w:rPr>
          <w:rFonts w:asciiTheme="majorBidi" w:hAnsiTheme="majorBidi" w:cstheme="majorBidi"/>
          <w:sz w:val="28"/>
          <w:szCs w:val="28"/>
          <w:rtl/>
        </w:rPr>
        <w:t>طبقا</w:t>
      </w:r>
      <w:r w:rsidRPr="004C2E55">
        <w:rPr>
          <w:rFonts w:asciiTheme="majorBidi" w:hAnsiTheme="majorBidi" w:cstheme="majorBidi"/>
          <w:sz w:val="28"/>
          <w:szCs w:val="28"/>
          <w:rtl/>
        </w:rPr>
        <w:t xml:space="preserve"> للمعايير الدولية هو </w:t>
      </w:r>
      <w:r w:rsidR="00BD2011" w:rsidRPr="004C2E55">
        <w:rPr>
          <w:rFonts w:asciiTheme="majorBidi" w:hAnsiTheme="majorBidi" w:cstheme="majorBidi"/>
          <w:sz w:val="28"/>
          <w:szCs w:val="28"/>
          <w:rtl/>
        </w:rPr>
        <w:t>من قبيل الكذب</w:t>
      </w:r>
      <w:r w:rsidRPr="004C2E55">
        <w:rPr>
          <w:rFonts w:asciiTheme="majorBidi" w:hAnsiTheme="majorBidi" w:cstheme="majorBidi"/>
          <w:sz w:val="28"/>
          <w:szCs w:val="28"/>
          <w:rtl/>
        </w:rPr>
        <w:t xml:space="preserve">، لأن النصوص القانونية المتعلقة بالحريات والتي تم اعتمادها منذ 25 </w:t>
      </w:r>
      <w:r w:rsidR="0024437E" w:rsidRPr="004C2E55">
        <w:rPr>
          <w:rFonts w:asciiTheme="majorBidi" w:hAnsiTheme="majorBidi" w:cstheme="majorBidi"/>
          <w:sz w:val="28"/>
          <w:szCs w:val="28"/>
          <w:rtl/>
        </w:rPr>
        <w:t>جويلية</w:t>
      </w:r>
      <w:r w:rsidRPr="004C2E55">
        <w:rPr>
          <w:rFonts w:asciiTheme="majorBidi" w:hAnsiTheme="majorBidi" w:cstheme="majorBidi"/>
          <w:sz w:val="28"/>
          <w:szCs w:val="28"/>
          <w:rtl/>
        </w:rPr>
        <w:t xml:space="preserve"> 2021، لا تتوافق مع المعايير الدولية. ومن </w:t>
      </w:r>
      <w:r w:rsidR="00BD2011" w:rsidRPr="004C2E55">
        <w:rPr>
          <w:rFonts w:asciiTheme="majorBidi" w:hAnsiTheme="majorBidi" w:cstheme="majorBidi"/>
          <w:sz w:val="28"/>
          <w:szCs w:val="28"/>
          <w:rtl/>
        </w:rPr>
        <w:t xml:space="preserve">أبرز </w:t>
      </w:r>
      <w:r w:rsidRPr="004C2E55">
        <w:rPr>
          <w:rFonts w:asciiTheme="majorBidi" w:hAnsiTheme="majorBidi" w:cstheme="majorBidi"/>
          <w:sz w:val="28"/>
          <w:szCs w:val="28"/>
          <w:rtl/>
        </w:rPr>
        <w:t xml:space="preserve">الأمثلة </w:t>
      </w:r>
      <w:r w:rsidR="00BD2011" w:rsidRPr="004C2E55">
        <w:rPr>
          <w:rFonts w:asciiTheme="majorBidi" w:hAnsiTheme="majorBidi" w:cstheme="majorBidi"/>
          <w:sz w:val="28"/>
          <w:szCs w:val="28"/>
          <w:rtl/>
        </w:rPr>
        <w:t xml:space="preserve">ما صدر مؤخرا من نصوص التي نذكر منها </w:t>
      </w:r>
      <w:r w:rsidRPr="004C2E55">
        <w:rPr>
          <w:rFonts w:asciiTheme="majorBidi" w:hAnsiTheme="majorBidi" w:cstheme="majorBidi"/>
          <w:sz w:val="28"/>
          <w:szCs w:val="28"/>
          <w:rtl/>
        </w:rPr>
        <w:t xml:space="preserve">المرسوم </w:t>
      </w:r>
      <w:r w:rsidR="00BD2011" w:rsidRPr="004C2E55">
        <w:rPr>
          <w:rFonts w:asciiTheme="majorBidi" w:hAnsiTheme="majorBidi" w:cstheme="majorBidi"/>
          <w:sz w:val="28"/>
          <w:szCs w:val="28"/>
          <w:rtl/>
        </w:rPr>
        <w:t>عدد</w:t>
      </w:r>
      <w:r w:rsidRPr="004C2E55">
        <w:rPr>
          <w:rFonts w:asciiTheme="majorBidi" w:hAnsiTheme="majorBidi" w:cstheme="majorBidi"/>
          <w:sz w:val="28"/>
          <w:szCs w:val="28"/>
          <w:rtl/>
        </w:rPr>
        <w:t xml:space="preserve"> 2022-54 المؤرخ 13 سبتمبر</w:t>
      </w:r>
      <w:r w:rsidR="00BD2011" w:rsidRPr="004C2E55">
        <w:rPr>
          <w:rFonts w:asciiTheme="majorBidi" w:hAnsiTheme="majorBidi" w:cstheme="majorBidi"/>
          <w:sz w:val="28"/>
          <w:szCs w:val="28"/>
          <w:rtl/>
        </w:rPr>
        <w:t xml:space="preserve"> 2022 يتعلق بمكافحة الجرائم المتصلة بأنظمة المعلومات والاتصال</w:t>
      </w:r>
      <w:r w:rsidRPr="004C2E55">
        <w:rPr>
          <w:rFonts w:asciiTheme="majorBidi" w:hAnsiTheme="majorBidi" w:cstheme="majorBidi"/>
          <w:sz w:val="28"/>
          <w:szCs w:val="28"/>
          <w:rtl/>
        </w:rPr>
        <w:t xml:space="preserve">. </w:t>
      </w:r>
      <w:r w:rsidR="00BD2011" w:rsidRPr="004C2E55">
        <w:rPr>
          <w:rFonts w:asciiTheme="majorBidi" w:hAnsiTheme="majorBidi" w:cstheme="majorBidi"/>
          <w:sz w:val="28"/>
          <w:szCs w:val="28"/>
          <w:rtl/>
        </w:rPr>
        <w:t>ويسمح هذا ال</w:t>
      </w:r>
      <w:r w:rsidRPr="004C2E55">
        <w:rPr>
          <w:rFonts w:asciiTheme="majorBidi" w:hAnsiTheme="majorBidi" w:cstheme="majorBidi"/>
          <w:sz w:val="28"/>
          <w:szCs w:val="28"/>
          <w:rtl/>
        </w:rPr>
        <w:t xml:space="preserve">نص للدولة بمراقبة حرية التعبير </w:t>
      </w:r>
      <w:r w:rsidR="00BD2011" w:rsidRPr="004C2E55">
        <w:rPr>
          <w:rFonts w:asciiTheme="majorBidi" w:hAnsiTheme="majorBidi" w:cstheme="majorBidi"/>
          <w:sz w:val="28"/>
          <w:szCs w:val="28"/>
          <w:rtl/>
        </w:rPr>
        <w:t>وتسليط العقوبات والرقابة المسبقة عليها</w:t>
      </w:r>
      <w:r w:rsidRPr="004C2E55">
        <w:rPr>
          <w:rFonts w:asciiTheme="majorBidi" w:hAnsiTheme="majorBidi" w:cstheme="majorBidi"/>
          <w:sz w:val="28"/>
          <w:szCs w:val="28"/>
          <w:rtl/>
        </w:rPr>
        <w:t xml:space="preserve"> </w:t>
      </w:r>
      <w:r w:rsidR="00BD2011" w:rsidRPr="004C2E55">
        <w:rPr>
          <w:rFonts w:asciiTheme="majorBidi" w:hAnsiTheme="majorBidi" w:cstheme="majorBidi"/>
          <w:sz w:val="28"/>
          <w:szCs w:val="28"/>
          <w:rtl/>
        </w:rPr>
        <w:t xml:space="preserve">وذلك </w:t>
      </w:r>
      <w:r w:rsidRPr="004C2E55">
        <w:rPr>
          <w:rFonts w:asciiTheme="majorBidi" w:hAnsiTheme="majorBidi" w:cstheme="majorBidi"/>
          <w:sz w:val="28"/>
          <w:szCs w:val="28"/>
          <w:rtl/>
        </w:rPr>
        <w:t xml:space="preserve">من خلال وصفها بأنها </w:t>
      </w:r>
      <w:r w:rsidR="00BD2011" w:rsidRPr="004C2E55">
        <w:rPr>
          <w:rFonts w:asciiTheme="majorBidi" w:hAnsiTheme="majorBidi" w:cstheme="majorBidi"/>
          <w:sz w:val="28"/>
          <w:szCs w:val="28"/>
          <w:rtl/>
        </w:rPr>
        <w:t xml:space="preserve">أخبار أو بيانات أو إشاعات كاذبة أو وثائق مصطنعة أو مزوّرة أو منسوبة كذبا للغير بهدف الاعتداء على حقوق الغير أو الإضرار بالأمن العام أو الدفاع الوطني أو بث الرعب بين السكان </w:t>
      </w:r>
      <w:r w:rsidRPr="004C2E55">
        <w:rPr>
          <w:rFonts w:asciiTheme="majorBidi" w:hAnsiTheme="majorBidi" w:cstheme="majorBidi"/>
          <w:sz w:val="28"/>
          <w:szCs w:val="28"/>
          <w:rtl/>
        </w:rPr>
        <w:t>(</w:t>
      </w:r>
      <w:r w:rsidR="00BD2011" w:rsidRPr="004C2E55">
        <w:rPr>
          <w:rFonts w:asciiTheme="majorBidi" w:hAnsiTheme="majorBidi" w:cstheme="majorBidi"/>
          <w:sz w:val="28"/>
          <w:szCs w:val="28"/>
          <w:rtl/>
        </w:rPr>
        <w:t>الفصل</w:t>
      </w:r>
      <w:r w:rsidRPr="004C2E55">
        <w:rPr>
          <w:rFonts w:asciiTheme="majorBidi" w:hAnsiTheme="majorBidi" w:cstheme="majorBidi"/>
          <w:sz w:val="28"/>
          <w:szCs w:val="28"/>
          <w:rtl/>
        </w:rPr>
        <w:t xml:space="preserve"> 24 من المرسوم)</w:t>
      </w:r>
      <w:r w:rsidRPr="004C2E55">
        <w:rPr>
          <w:rFonts w:asciiTheme="majorBidi" w:hAnsiTheme="majorBidi" w:cstheme="majorBidi"/>
          <w:sz w:val="28"/>
          <w:szCs w:val="28"/>
        </w:rPr>
        <w:t>.</w:t>
      </w:r>
    </w:p>
    <w:p w14:paraId="6CDCAFCE" w14:textId="69517423" w:rsidR="001D3E1D" w:rsidRPr="004C2E55" w:rsidRDefault="001D3E1D" w:rsidP="004C2E55">
      <w:pPr>
        <w:spacing w:after="0" w:line="240" w:lineRule="auto"/>
        <w:jc w:val="both"/>
        <w:rPr>
          <w:rFonts w:asciiTheme="majorBidi" w:hAnsiTheme="majorBidi" w:cstheme="majorBidi"/>
          <w:sz w:val="28"/>
          <w:szCs w:val="28"/>
        </w:rPr>
      </w:pPr>
    </w:p>
    <w:p w14:paraId="13A92B48" w14:textId="5814FD6D" w:rsidR="0094391B" w:rsidRPr="004C2E55" w:rsidRDefault="0094391B"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t>-حرية تكوين الجمعيات</w:t>
      </w:r>
    </w:p>
    <w:p w14:paraId="0DDD1800" w14:textId="6AAC68C2" w:rsidR="001D3E1D" w:rsidRPr="004C2E55" w:rsidRDefault="0094391B"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جاء بالتقرير: </w:t>
      </w:r>
      <w:r w:rsidRPr="004C2E55">
        <w:rPr>
          <w:rFonts w:asciiTheme="majorBidi" w:hAnsiTheme="majorBidi" w:cstheme="majorBidi"/>
          <w:i/>
          <w:iCs/>
          <w:sz w:val="28"/>
          <w:szCs w:val="28"/>
          <w:rtl/>
        </w:rPr>
        <w:t>"</w:t>
      </w:r>
      <w:r w:rsidRPr="00C524CC">
        <w:rPr>
          <w:rFonts w:asciiTheme="majorBidi" w:hAnsiTheme="majorBidi" w:cstheme="majorBidi"/>
          <w:i/>
          <w:iCs/>
          <w:color w:val="0070C0"/>
          <w:sz w:val="28"/>
          <w:szCs w:val="28"/>
          <w:rtl/>
        </w:rPr>
        <w:t>تسعى الحكومة إلى مراجعة المرسوم عدد 88 لسنة 2011 عبر تشريك مكونات المجتمع المدني</w:t>
      </w:r>
      <w:r w:rsidRPr="004C2E55">
        <w:rPr>
          <w:rFonts w:asciiTheme="majorBidi" w:hAnsiTheme="majorBidi" w:cstheme="majorBidi"/>
          <w:i/>
          <w:iCs/>
          <w:sz w:val="28"/>
          <w:szCs w:val="28"/>
          <w:rtl/>
        </w:rPr>
        <w:t>"</w:t>
      </w:r>
      <w:r w:rsidR="00BD4EC7" w:rsidRPr="004C2E55">
        <w:rPr>
          <w:rStyle w:val="Appelnotedebasdep"/>
          <w:rFonts w:asciiTheme="majorBidi" w:hAnsiTheme="majorBidi" w:cstheme="majorBidi"/>
          <w:sz w:val="28"/>
          <w:szCs w:val="28"/>
          <w:rtl/>
        </w:rPr>
        <w:footnoteReference w:id="14"/>
      </w:r>
      <w:r w:rsidRPr="004C2E55">
        <w:rPr>
          <w:rFonts w:asciiTheme="majorBidi" w:hAnsiTheme="majorBidi" w:cstheme="majorBidi"/>
          <w:i/>
          <w:iCs/>
          <w:sz w:val="28"/>
          <w:szCs w:val="28"/>
          <w:rtl/>
        </w:rPr>
        <w:t xml:space="preserve"> </w:t>
      </w:r>
      <w:r w:rsidRPr="004C2E55">
        <w:rPr>
          <w:rFonts w:asciiTheme="majorBidi" w:hAnsiTheme="majorBidi" w:cstheme="majorBidi"/>
          <w:sz w:val="24"/>
          <w:szCs w:val="24"/>
          <w:highlight w:val="lightGray"/>
          <w:rtl/>
        </w:rPr>
        <w:t>(الفقرة 105)</w:t>
      </w:r>
      <w:r w:rsidR="00AB2536" w:rsidRPr="004C2E55">
        <w:rPr>
          <w:rFonts w:asciiTheme="majorBidi" w:hAnsiTheme="majorBidi" w:cstheme="majorBidi"/>
          <w:sz w:val="24"/>
          <w:szCs w:val="24"/>
          <w:highlight w:val="lightGray"/>
          <w:rtl/>
        </w:rPr>
        <w:t>.</w:t>
      </w:r>
    </w:p>
    <w:p w14:paraId="4214A7DF" w14:textId="415D1740" w:rsidR="00CA3B75" w:rsidRPr="004C2E55" w:rsidRDefault="00A90E18"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 xml:space="preserve">لا يمكن الاعتماد على </w:t>
      </w:r>
      <w:r w:rsidR="00CA3B75" w:rsidRPr="004C2E55">
        <w:rPr>
          <w:rFonts w:asciiTheme="majorBidi" w:hAnsiTheme="majorBidi" w:cstheme="majorBidi"/>
          <w:sz w:val="28"/>
          <w:szCs w:val="28"/>
          <w:rtl/>
        </w:rPr>
        <w:t xml:space="preserve">هذا </w:t>
      </w:r>
      <w:r w:rsidR="00660B21" w:rsidRPr="004C2E55">
        <w:rPr>
          <w:rFonts w:asciiTheme="majorBidi" w:hAnsiTheme="majorBidi" w:cstheme="majorBidi"/>
          <w:sz w:val="28"/>
          <w:szCs w:val="28"/>
          <w:rtl/>
        </w:rPr>
        <w:t>التقديم</w:t>
      </w:r>
      <w:r w:rsidR="00CA3B75" w:rsidRPr="004C2E55">
        <w:rPr>
          <w:rFonts w:asciiTheme="majorBidi" w:hAnsiTheme="majorBidi" w:cstheme="majorBidi"/>
          <w:sz w:val="28"/>
          <w:szCs w:val="28"/>
          <w:rtl/>
        </w:rPr>
        <w:t xml:space="preserve"> </w:t>
      </w:r>
      <w:r w:rsidRPr="004C2E55">
        <w:rPr>
          <w:rFonts w:asciiTheme="majorBidi" w:hAnsiTheme="majorBidi" w:cstheme="majorBidi"/>
          <w:sz w:val="28"/>
          <w:szCs w:val="28"/>
          <w:rtl/>
        </w:rPr>
        <w:t>اذ تحاول الحكومة من خلاله التستر على مشروع قانون يهدد حرية الجمعيات</w:t>
      </w:r>
      <w:r w:rsidR="00660B21" w:rsidRPr="004C2E55">
        <w:rPr>
          <w:rFonts w:asciiTheme="majorBidi" w:hAnsiTheme="majorBidi" w:cstheme="majorBidi"/>
          <w:sz w:val="28"/>
          <w:szCs w:val="28"/>
          <w:rtl/>
        </w:rPr>
        <w:t xml:space="preserve">. </w:t>
      </w:r>
      <w:r w:rsidRPr="004C2E55">
        <w:rPr>
          <w:rFonts w:asciiTheme="majorBidi" w:hAnsiTheme="majorBidi" w:cstheme="majorBidi"/>
          <w:sz w:val="28"/>
          <w:szCs w:val="28"/>
          <w:rtl/>
        </w:rPr>
        <w:t>نذكر أن</w:t>
      </w:r>
      <w:r w:rsidR="00660B21" w:rsidRPr="004C2E55">
        <w:rPr>
          <w:rFonts w:asciiTheme="majorBidi" w:hAnsiTheme="majorBidi" w:cstheme="majorBidi"/>
          <w:sz w:val="28"/>
          <w:szCs w:val="28"/>
          <w:rtl/>
        </w:rPr>
        <w:t xml:space="preserve"> </w:t>
      </w:r>
      <w:r w:rsidR="00CA3B75" w:rsidRPr="004C2E55">
        <w:rPr>
          <w:rFonts w:asciiTheme="majorBidi" w:hAnsiTheme="majorBidi" w:cstheme="majorBidi"/>
          <w:sz w:val="28"/>
          <w:szCs w:val="28"/>
          <w:rtl/>
        </w:rPr>
        <w:t xml:space="preserve">الحكومة </w:t>
      </w:r>
      <w:r w:rsidRPr="004C2E55">
        <w:rPr>
          <w:rFonts w:asciiTheme="majorBidi" w:hAnsiTheme="majorBidi" w:cstheme="majorBidi"/>
          <w:sz w:val="28"/>
          <w:szCs w:val="28"/>
          <w:rtl/>
        </w:rPr>
        <w:t xml:space="preserve">قامت بتسريب </w:t>
      </w:r>
      <w:r w:rsidR="00CA3B75" w:rsidRPr="004C2E55">
        <w:rPr>
          <w:rFonts w:asciiTheme="majorBidi" w:hAnsiTheme="majorBidi" w:cstheme="majorBidi"/>
          <w:sz w:val="28"/>
          <w:szCs w:val="28"/>
          <w:rtl/>
        </w:rPr>
        <w:t xml:space="preserve">مسودة </w:t>
      </w:r>
      <w:r w:rsidR="00660B21" w:rsidRPr="004C2E55">
        <w:rPr>
          <w:rFonts w:asciiTheme="majorBidi" w:hAnsiTheme="majorBidi" w:cstheme="majorBidi"/>
          <w:sz w:val="28"/>
          <w:szCs w:val="28"/>
          <w:rtl/>
        </w:rPr>
        <w:t>لتنقيح ال</w:t>
      </w:r>
      <w:r w:rsidR="00CA3B75" w:rsidRPr="004C2E55">
        <w:rPr>
          <w:rFonts w:asciiTheme="majorBidi" w:hAnsiTheme="majorBidi" w:cstheme="majorBidi"/>
          <w:sz w:val="28"/>
          <w:szCs w:val="28"/>
          <w:rtl/>
        </w:rPr>
        <w:t xml:space="preserve">مرسوم </w:t>
      </w:r>
      <w:r w:rsidR="00660B21" w:rsidRPr="004C2E55">
        <w:rPr>
          <w:rFonts w:asciiTheme="majorBidi" w:hAnsiTheme="majorBidi" w:cstheme="majorBidi"/>
          <w:sz w:val="28"/>
          <w:szCs w:val="28"/>
          <w:rtl/>
        </w:rPr>
        <w:t xml:space="preserve">عدد </w:t>
      </w:r>
      <w:r w:rsidRPr="004C2E55">
        <w:rPr>
          <w:rFonts w:asciiTheme="majorBidi" w:hAnsiTheme="majorBidi" w:cstheme="majorBidi"/>
          <w:sz w:val="28"/>
          <w:szCs w:val="28"/>
          <w:rtl/>
        </w:rPr>
        <w:t>88 لسنة 2011</w:t>
      </w:r>
      <w:r w:rsidR="00CA3B75" w:rsidRPr="004C2E55">
        <w:rPr>
          <w:rFonts w:asciiTheme="majorBidi" w:hAnsiTheme="majorBidi" w:cstheme="majorBidi"/>
          <w:sz w:val="28"/>
          <w:szCs w:val="28"/>
          <w:rtl/>
        </w:rPr>
        <w:t xml:space="preserve"> </w:t>
      </w:r>
      <w:r w:rsidR="00660B21" w:rsidRPr="004C2E55">
        <w:rPr>
          <w:rFonts w:asciiTheme="majorBidi" w:hAnsiTheme="majorBidi" w:cstheme="majorBidi"/>
          <w:sz w:val="28"/>
          <w:szCs w:val="28"/>
          <w:rtl/>
        </w:rPr>
        <w:t>المتعلق</w:t>
      </w:r>
      <w:r w:rsidR="00CA3B75" w:rsidRPr="004C2E55">
        <w:rPr>
          <w:rFonts w:asciiTheme="majorBidi" w:hAnsiTheme="majorBidi" w:cstheme="majorBidi"/>
          <w:sz w:val="28"/>
          <w:szCs w:val="28"/>
          <w:rtl/>
        </w:rPr>
        <w:t xml:space="preserve"> </w:t>
      </w:r>
      <w:r w:rsidR="00660B21" w:rsidRPr="004C2E55">
        <w:rPr>
          <w:rFonts w:asciiTheme="majorBidi" w:hAnsiTheme="majorBidi" w:cstheme="majorBidi"/>
          <w:sz w:val="28"/>
          <w:szCs w:val="28"/>
          <w:rtl/>
        </w:rPr>
        <w:t>ب</w:t>
      </w:r>
      <w:r w:rsidR="00CA3B75" w:rsidRPr="004C2E55">
        <w:rPr>
          <w:rFonts w:asciiTheme="majorBidi" w:hAnsiTheme="majorBidi" w:cstheme="majorBidi"/>
          <w:sz w:val="28"/>
          <w:szCs w:val="28"/>
          <w:rtl/>
        </w:rPr>
        <w:t>الجمعيات، والتي تهد</w:t>
      </w:r>
      <w:r w:rsidR="00660B21" w:rsidRPr="004C2E55">
        <w:rPr>
          <w:rFonts w:asciiTheme="majorBidi" w:hAnsiTheme="majorBidi" w:cstheme="majorBidi"/>
          <w:sz w:val="28"/>
          <w:szCs w:val="28"/>
          <w:rtl/>
        </w:rPr>
        <w:t xml:space="preserve">ف إلى إعادة </w:t>
      </w:r>
      <w:r w:rsidRPr="004C2E55">
        <w:rPr>
          <w:rFonts w:asciiTheme="majorBidi" w:hAnsiTheme="majorBidi" w:cstheme="majorBidi"/>
          <w:sz w:val="28"/>
          <w:szCs w:val="28"/>
          <w:rtl/>
        </w:rPr>
        <w:t xml:space="preserve">إرساء </w:t>
      </w:r>
      <w:r w:rsidR="00660B21" w:rsidRPr="004C2E55">
        <w:rPr>
          <w:rFonts w:asciiTheme="majorBidi" w:hAnsiTheme="majorBidi" w:cstheme="majorBidi"/>
          <w:sz w:val="28"/>
          <w:szCs w:val="28"/>
          <w:rtl/>
        </w:rPr>
        <w:t>نظام التصريح المسبق</w:t>
      </w:r>
      <w:r w:rsidR="00CA3B75" w:rsidRPr="004C2E55">
        <w:rPr>
          <w:rFonts w:asciiTheme="majorBidi" w:hAnsiTheme="majorBidi" w:cstheme="majorBidi"/>
          <w:sz w:val="28"/>
          <w:szCs w:val="28"/>
          <w:rtl/>
        </w:rPr>
        <w:t xml:space="preserve">. </w:t>
      </w:r>
      <w:r w:rsidR="00660B21" w:rsidRPr="004C2E55">
        <w:rPr>
          <w:rFonts w:asciiTheme="majorBidi" w:hAnsiTheme="majorBidi" w:cstheme="majorBidi"/>
          <w:sz w:val="28"/>
          <w:szCs w:val="28"/>
          <w:rtl/>
        </w:rPr>
        <w:t xml:space="preserve">كما يهدف المشروع </w:t>
      </w:r>
      <w:r w:rsidRPr="004C2E55">
        <w:rPr>
          <w:rFonts w:asciiTheme="majorBidi" w:hAnsiTheme="majorBidi" w:cstheme="majorBidi"/>
          <w:sz w:val="28"/>
          <w:szCs w:val="28"/>
          <w:rtl/>
        </w:rPr>
        <w:t>لفرض</w:t>
      </w:r>
      <w:r w:rsidR="00660B21" w:rsidRPr="004C2E55">
        <w:rPr>
          <w:rFonts w:asciiTheme="majorBidi" w:hAnsiTheme="majorBidi" w:cstheme="majorBidi"/>
          <w:sz w:val="28"/>
          <w:szCs w:val="28"/>
          <w:rtl/>
        </w:rPr>
        <w:t xml:space="preserve"> رقابة</w:t>
      </w:r>
      <w:r w:rsidR="00CA3B75" w:rsidRPr="004C2E55">
        <w:rPr>
          <w:rFonts w:asciiTheme="majorBidi" w:hAnsiTheme="majorBidi" w:cstheme="majorBidi"/>
          <w:sz w:val="28"/>
          <w:szCs w:val="28"/>
          <w:rtl/>
        </w:rPr>
        <w:t xml:space="preserve"> مشددة على الجمعيات (الإدارية والمالية)، والتدخل في عملها، وصلاحيات واسعة </w:t>
      </w:r>
      <w:r w:rsidR="00660B21" w:rsidRPr="004C2E55">
        <w:rPr>
          <w:rFonts w:asciiTheme="majorBidi" w:hAnsiTheme="majorBidi" w:cstheme="majorBidi"/>
          <w:sz w:val="28"/>
          <w:szCs w:val="28"/>
          <w:rtl/>
        </w:rPr>
        <w:t>لتعليق نشاط</w:t>
      </w:r>
      <w:r w:rsidR="00CA3B75" w:rsidRPr="004C2E55">
        <w:rPr>
          <w:rFonts w:asciiTheme="majorBidi" w:hAnsiTheme="majorBidi" w:cstheme="majorBidi"/>
          <w:sz w:val="28"/>
          <w:szCs w:val="28"/>
          <w:rtl/>
        </w:rPr>
        <w:t xml:space="preserve"> الجمعيات وحلها. </w:t>
      </w:r>
      <w:r w:rsidR="00660B21" w:rsidRPr="004C2E55">
        <w:rPr>
          <w:rFonts w:asciiTheme="majorBidi" w:hAnsiTheme="majorBidi" w:cstheme="majorBidi"/>
          <w:sz w:val="28"/>
          <w:szCs w:val="28"/>
          <w:rtl/>
        </w:rPr>
        <w:t xml:space="preserve">وهو </w:t>
      </w:r>
      <w:r w:rsidR="00CA3B75" w:rsidRPr="004C2E55">
        <w:rPr>
          <w:rFonts w:asciiTheme="majorBidi" w:hAnsiTheme="majorBidi" w:cstheme="majorBidi"/>
          <w:sz w:val="28"/>
          <w:szCs w:val="28"/>
          <w:rtl/>
        </w:rPr>
        <w:t>مشروع مرفوض تماما من قبل منظمات المجتمع المدني</w:t>
      </w:r>
      <w:r w:rsidR="00CA3B75" w:rsidRPr="004C2E55">
        <w:rPr>
          <w:rFonts w:asciiTheme="majorBidi" w:hAnsiTheme="majorBidi" w:cstheme="majorBidi"/>
          <w:sz w:val="28"/>
          <w:szCs w:val="28"/>
        </w:rPr>
        <w:t>.</w:t>
      </w:r>
    </w:p>
    <w:p w14:paraId="7A991150" w14:textId="77777777" w:rsidR="00E84F24" w:rsidRPr="004C2E55" w:rsidRDefault="00E84F24" w:rsidP="004C2E55">
      <w:pPr>
        <w:spacing w:after="0" w:line="240" w:lineRule="auto"/>
        <w:jc w:val="both"/>
        <w:rPr>
          <w:rFonts w:asciiTheme="majorBidi" w:hAnsiTheme="majorBidi" w:cstheme="majorBidi"/>
          <w:sz w:val="28"/>
          <w:szCs w:val="28"/>
          <w:rtl/>
        </w:rPr>
      </w:pPr>
    </w:p>
    <w:p w14:paraId="2AE681E1" w14:textId="5B0355F5" w:rsidR="00E84F24" w:rsidRPr="004C2E55" w:rsidRDefault="00E84F24" w:rsidP="004C2E55">
      <w:pPr>
        <w:pStyle w:val="Paragraphedeliste"/>
        <w:numPr>
          <w:ilvl w:val="0"/>
          <w:numId w:val="1"/>
        </w:num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t xml:space="preserve">عقوبة الإعدام </w:t>
      </w:r>
    </w:p>
    <w:p w14:paraId="68114BE2" w14:textId="429B31E7" w:rsidR="00E84F24" w:rsidRPr="004C2E55" w:rsidRDefault="00284197"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جاء بالتقرير حول عقوبة الإعدام </w:t>
      </w:r>
      <w:proofErr w:type="gramStart"/>
      <w:r w:rsidRPr="004C2E55">
        <w:rPr>
          <w:rFonts w:asciiTheme="majorBidi" w:hAnsiTheme="majorBidi" w:cstheme="majorBidi"/>
          <w:sz w:val="28"/>
          <w:szCs w:val="28"/>
          <w:rtl/>
        </w:rPr>
        <w:t xml:space="preserve">أنه:  </w:t>
      </w:r>
      <w:r w:rsidRPr="00C524CC">
        <w:rPr>
          <w:rFonts w:asciiTheme="majorBidi" w:hAnsiTheme="majorBidi" w:cstheme="majorBidi"/>
          <w:i/>
          <w:iCs/>
          <w:color w:val="0070C0"/>
          <w:sz w:val="28"/>
          <w:szCs w:val="28"/>
          <w:rtl/>
        </w:rPr>
        <w:t>"</w:t>
      </w:r>
      <w:proofErr w:type="gramEnd"/>
      <w:r w:rsidR="003A7F5B" w:rsidRPr="00C524CC">
        <w:rPr>
          <w:rFonts w:asciiTheme="majorBidi" w:hAnsiTheme="majorBidi" w:cstheme="majorBidi"/>
          <w:i/>
          <w:iCs/>
          <w:color w:val="0070C0"/>
          <w:sz w:val="28"/>
          <w:szCs w:val="28"/>
          <w:rtl/>
        </w:rPr>
        <w:t>ولا تزال هذه المسألة محل جدل وتباين في الآراء داخ</w:t>
      </w:r>
      <w:r w:rsidRPr="00C524CC">
        <w:rPr>
          <w:rFonts w:asciiTheme="majorBidi" w:hAnsiTheme="majorBidi" w:cstheme="majorBidi"/>
          <w:i/>
          <w:iCs/>
          <w:color w:val="0070C0"/>
          <w:sz w:val="28"/>
          <w:szCs w:val="28"/>
          <w:rtl/>
        </w:rPr>
        <w:t>ل</w:t>
      </w:r>
      <w:r w:rsidR="003A7F5B" w:rsidRPr="00C524CC">
        <w:rPr>
          <w:rFonts w:asciiTheme="majorBidi" w:hAnsiTheme="majorBidi" w:cstheme="majorBidi"/>
          <w:i/>
          <w:iCs/>
          <w:color w:val="0070C0"/>
          <w:sz w:val="28"/>
          <w:szCs w:val="28"/>
          <w:rtl/>
        </w:rPr>
        <w:t xml:space="preserve"> المجتمع التونسي</w:t>
      </w:r>
      <w:r w:rsidR="003A7F5B" w:rsidRPr="004C2E55">
        <w:rPr>
          <w:rFonts w:asciiTheme="majorBidi" w:hAnsiTheme="majorBidi" w:cstheme="majorBidi"/>
          <w:i/>
          <w:iCs/>
          <w:sz w:val="28"/>
          <w:szCs w:val="28"/>
        </w:rPr>
        <w:t>.</w:t>
      </w:r>
      <w:r w:rsidRPr="004C2E55">
        <w:rPr>
          <w:rFonts w:asciiTheme="majorBidi" w:hAnsiTheme="majorBidi" w:cstheme="majorBidi"/>
          <w:i/>
          <w:iCs/>
          <w:sz w:val="28"/>
          <w:szCs w:val="28"/>
          <w:rtl/>
        </w:rPr>
        <w:t>"</w:t>
      </w:r>
      <w:r w:rsidR="00BD4EC7" w:rsidRPr="004C2E55">
        <w:rPr>
          <w:rStyle w:val="Appelnotedebasdep"/>
          <w:rFonts w:asciiTheme="majorBidi" w:hAnsiTheme="majorBidi" w:cstheme="majorBidi"/>
          <w:sz w:val="28"/>
          <w:szCs w:val="28"/>
          <w:rtl/>
        </w:rPr>
        <w:t xml:space="preserve"> </w:t>
      </w:r>
      <w:r w:rsidR="00BD4EC7" w:rsidRPr="004C2E55">
        <w:rPr>
          <w:rStyle w:val="Appelnotedebasdep"/>
          <w:rFonts w:asciiTheme="majorBidi" w:hAnsiTheme="majorBidi" w:cstheme="majorBidi"/>
          <w:sz w:val="28"/>
          <w:szCs w:val="28"/>
          <w:rtl/>
        </w:rPr>
        <w:footnoteReference w:id="15"/>
      </w:r>
      <w:r w:rsidRPr="004C2E55">
        <w:rPr>
          <w:rFonts w:asciiTheme="majorBidi" w:hAnsiTheme="majorBidi" w:cstheme="majorBidi"/>
          <w:i/>
          <w:iCs/>
          <w:sz w:val="28"/>
          <w:szCs w:val="28"/>
          <w:rtl/>
        </w:rPr>
        <w:t xml:space="preserve"> </w:t>
      </w:r>
      <w:r w:rsidRPr="004C2E55">
        <w:rPr>
          <w:rFonts w:asciiTheme="majorBidi" w:hAnsiTheme="majorBidi" w:cstheme="majorBidi"/>
          <w:sz w:val="24"/>
          <w:szCs w:val="24"/>
          <w:highlight w:val="lightGray"/>
          <w:rtl/>
        </w:rPr>
        <w:t>(الفقرة 85)</w:t>
      </w:r>
    </w:p>
    <w:p w14:paraId="794C0A2D" w14:textId="7C359405" w:rsidR="000550A0" w:rsidRPr="004C2E55" w:rsidRDefault="00E84F24"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لا بد من التذكير بأن هذه المسألة ت</w:t>
      </w:r>
      <w:r w:rsidR="00E77292" w:rsidRPr="004C2E55">
        <w:rPr>
          <w:rFonts w:asciiTheme="majorBidi" w:hAnsiTheme="majorBidi" w:cstheme="majorBidi"/>
          <w:sz w:val="28"/>
          <w:szCs w:val="28"/>
          <w:rtl/>
        </w:rPr>
        <w:t xml:space="preserve">ثير </w:t>
      </w:r>
      <w:r w:rsidR="00426F5F" w:rsidRPr="004C2E55">
        <w:rPr>
          <w:rFonts w:asciiTheme="majorBidi" w:hAnsiTheme="majorBidi" w:cstheme="majorBidi"/>
          <w:sz w:val="28"/>
          <w:szCs w:val="28"/>
          <w:rtl/>
        </w:rPr>
        <w:t xml:space="preserve">دائما </w:t>
      </w:r>
      <w:r w:rsidR="00E77292" w:rsidRPr="004C2E55">
        <w:rPr>
          <w:rFonts w:asciiTheme="majorBidi" w:hAnsiTheme="majorBidi" w:cstheme="majorBidi"/>
          <w:sz w:val="28"/>
          <w:szCs w:val="28"/>
          <w:rtl/>
        </w:rPr>
        <w:t>الجدل والاختلاف في كل مكان، بما في ذلك في الدول التي ألغت بالفعل</w:t>
      </w:r>
      <w:r w:rsidR="00426F5F" w:rsidRPr="004C2E55">
        <w:rPr>
          <w:rFonts w:asciiTheme="majorBidi" w:hAnsiTheme="majorBidi" w:cstheme="majorBidi"/>
          <w:sz w:val="28"/>
          <w:szCs w:val="28"/>
          <w:rtl/>
        </w:rPr>
        <w:t xml:space="preserve"> عقوبة الاعدام</w:t>
      </w:r>
      <w:r w:rsidR="00E77292" w:rsidRPr="004C2E55">
        <w:rPr>
          <w:rFonts w:asciiTheme="majorBidi" w:hAnsiTheme="majorBidi" w:cstheme="majorBidi"/>
          <w:sz w:val="28"/>
          <w:szCs w:val="28"/>
          <w:rtl/>
        </w:rPr>
        <w:t xml:space="preserve">! ولذلك، فإن طرح هذه الحجة من أجل عدم الدخول في أي نقاش حول هذه المسألة </w:t>
      </w:r>
      <w:r w:rsidRPr="004C2E55">
        <w:rPr>
          <w:rFonts w:asciiTheme="majorBidi" w:hAnsiTheme="majorBidi" w:cstheme="majorBidi"/>
          <w:sz w:val="28"/>
          <w:szCs w:val="28"/>
          <w:rtl/>
        </w:rPr>
        <w:t>والمرور</w:t>
      </w:r>
      <w:r w:rsidR="00E77292" w:rsidRPr="004C2E55">
        <w:rPr>
          <w:rFonts w:asciiTheme="majorBidi" w:hAnsiTheme="majorBidi" w:cstheme="majorBidi"/>
          <w:sz w:val="28"/>
          <w:szCs w:val="28"/>
          <w:rtl/>
        </w:rPr>
        <w:t xml:space="preserve"> إلى إلغائها بعد أكثر من 30 عاما من </w:t>
      </w:r>
      <w:r w:rsidRPr="004C2E55">
        <w:rPr>
          <w:rFonts w:asciiTheme="majorBidi" w:hAnsiTheme="majorBidi" w:cstheme="majorBidi"/>
          <w:sz w:val="28"/>
          <w:szCs w:val="28"/>
          <w:rtl/>
        </w:rPr>
        <w:t>عدم التنفيذ</w:t>
      </w:r>
      <w:r w:rsidR="00E77292" w:rsidRPr="004C2E55">
        <w:rPr>
          <w:rFonts w:asciiTheme="majorBidi" w:hAnsiTheme="majorBidi" w:cstheme="majorBidi"/>
          <w:sz w:val="28"/>
          <w:szCs w:val="28"/>
          <w:rtl/>
        </w:rPr>
        <w:t>، يظل في رأينا نفاقا و</w:t>
      </w:r>
      <w:r w:rsidR="00426F5F" w:rsidRPr="004C2E55">
        <w:rPr>
          <w:rFonts w:asciiTheme="majorBidi" w:hAnsiTheme="majorBidi" w:cstheme="majorBidi"/>
          <w:sz w:val="28"/>
          <w:szCs w:val="28"/>
          <w:rtl/>
        </w:rPr>
        <w:t>طرحا غير</w:t>
      </w:r>
      <w:r w:rsidR="00E77292" w:rsidRPr="004C2E55">
        <w:rPr>
          <w:rFonts w:asciiTheme="majorBidi" w:hAnsiTheme="majorBidi" w:cstheme="majorBidi"/>
          <w:sz w:val="28"/>
          <w:szCs w:val="28"/>
          <w:rtl/>
        </w:rPr>
        <w:t xml:space="preserve"> عقلاني</w:t>
      </w:r>
      <w:r w:rsidR="00E77292" w:rsidRPr="004C2E55">
        <w:rPr>
          <w:rFonts w:asciiTheme="majorBidi" w:hAnsiTheme="majorBidi" w:cstheme="majorBidi"/>
          <w:sz w:val="28"/>
          <w:szCs w:val="28"/>
        </w:rPr>
        <w:t>!</w:t>
      </w:r>
    </w:p>
    <w:p w14:paraId="4D424739" w14:textId="77777777" w:rsidR="000550A0" w:rsidRPr="004C2E55" w:rsidRDefault="000550A0" w:rsidP="004C2E55">
      <w:pPr>
        <w:spacing w:after="0" w:line="240" w:lineRule="auto"/>
        <w:jc w:val="both"/>
        <w:rPr>
          <w:rFonts w:asciiTheme="majorBidi" w:hAnsiTheme="majorBidi" w:cstheme="majorBidi"/>
          <w:sz w:val="28"/>
          <w:szCs w:val="28"/>
          <w:rtl/>
        </w:rPr>
      </w:pPr>
    </w:p>
    <w:p w14:paraId="25B7DFF5" w14:textId="32530344" w:rsidR="000550A0" w:rsidRPr="004C2E55" w:rsidRDefault="000550A0" w:rsidP="004C2E55">
      <w:pPr>
        <w:bidi/>
        <w:spacing w:after="0" w:line="240" w:lineRule="auto"/>
        <w:jc w:val="both"/>
        <w:rPr>
          <w:rFonts w:asciiTheme="majorBidi" w:hAnsiTheme="majorBidi" w:cstheme="majorBidi"/>
          <w:b/>
          <w:bCs/>
          <w:sz w:val="28"/>
          <w:szCs w:val="28"/>
        </w:rPr>
      </w:pPr>
      <w:r w:rsidRPr="004C2E55">
        <w:rPr>
          <w:rFonts w:asciiTheme="majorBidi" w:hAnsiTheme="majorBidi" w:cstheme="majorBidi"/>
          <w:b/>
          <w:bCs/>
          <w:sz w:val="28"/>
          <w:szCs w:val="28"/>
          <w:rtl/>
        </w:rPr>
        <w:t xml:space="preserve">3.2. </w:t>
      </w:r>
      <w:r w:rsidRPr="004C2E55">
        <w:rPr>
          <w:rFonts w:asciiTheme="majorBidi" w:hAnsiTheme="majorBidi" w:cstheme="majorBidi"/>
          <w:b/>
          <w:bCs/>
          <w:sz w:val="28"/>
          <w:szCs w:val="28"/>
        </w:rPr>
        <w:t xml:space="preserve"> </w:t>
      </w:r>
      <w:r w:rsidRPr="004C2E55">
        <w:rPr>
          <w:rFonts w:asciiTheme="majorBidi" w:hAnsiTheme="majorBidi" w:cstheme="majorBidi"/>
          <w:b/>
          <w:bCs/>
          <w:sz w:val="28"/>
          <w:szCs w:val="28"/>
          <w:rtl/>
        </w:rPr>
        <w:t>الأكاذيب التي تخفي الممارسات التمييزية</w:t>
      </w:r>
      <w:r w:rsidRPr="004C2E55">
        <w:rPr>
          <w:rFonts w:asciiTheme="majorBidi" w:hAnsiTheme="majorBidi" w:cstheme="majorBidi"/>
          <w:b/>
          <w:bCs/>
          <w:sz w:val="28"/>
          <w:szCs w:val="28"/>
        </w:rPr>
        <w:t xml:space="preserve">! </w:t>
      </w:r>
    </w:p>
    <w:p w14:paraId="34C9DDAD" w14:textId="04A939A5" w:rsidR="00082ECE" w:rsidRPr="004C2E55" w:rsidRDefault="000550A0"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i/>
          <w:iCs/>
          <w:sz w:val="28"/>
          <w:szCs w:val="28"/>
          <w:rtl/>
        </w:rPr>
        <w:t>-مكافحة التمييز على أساس التوجه الجنسي</w:t>
      </w:r>
      <w:r w:rsidR="00426F5F" w:rsidRPr="004C2E55">
        <w:rPr>
          <w:rFonts w:asciiTheme="majorBidi" w:hAnsiTheme="majorBidi" w:cstheme="majorBidi"/>
          <w:i/>
          <w:iCs/>
          <w:sz w:val="28"/>
          <w:szCs w:val="28"/>
          <w:rtl/>
        </w:rPr>
        <w:t xml:space="preserve"> والهوية </w:t>
      </w:r>
      <w:proofErr w:type="spellStart"/>
      <w:r w:rsidR="00426F5F" w:rsidRPr="004C2E55">
        <w:rPr>
          <w:rFonts w:asciiTheme="majorBidi" w:hAnsiTheme="majorBidi" w:cstheme="majorBidi"/>
          <w:i/>
          <w:iCs/>
          <w:sz w:val="28"/>
          <w:szCs w:val="28"/>
          <w:rtl/>
        </w:rPr>
        <w:t>الجندرية</w:t>
      </w:r>
      <w:proofErr w:type="spellEnd"/>
    </w:p>
    <w:p w14:paraId="579FFEE6" w14:textId="6800F66D" w:rsidR="00A33900" w:rsidRPr="004C2E55" w:rsidRDefault="000550A0"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lastRenderedPageBreak/>
        <w:t xml:space="preserve">جاء بالتقرير الوطني أنه: </w:t>
      </w:r>
      <w:r w:rsidR="00082ECE" w:rsidRPr="00C524CC">
        <w:rPr>
          <w:rFonts w:asciiTheme="majorBidi" w:hAnsiTheme="majorBidi" w:cstheme="majorBidi"/>
          <w:i/>
          <w:iCs/>
          <w:color w:val="0070C0"/>
          <w:sz w:val="28"/>
          <w:szCs w:val="28"/>
          <w:rtl/>
        </w:rPr>
        <w:t>"بخصوص الفحص الشرجي فالهدف منه ليس إثبات المثلية أو تحديد التوجه الجنسي للفرد بل يتم اجراؤه لجميع الضحايا باعتباره الطريقة الوحيدة التي تمكن من إثبات التعرض لاعتداءات جنسية عن طريق الإيلاج في الشرج. ولا يتم تطبيقه إلا برضا المعني بالأمر ولا يعتبر قرينة على ارتكابه للجريمة. كما يجب على الطبيب الشرعي احتر</w:t>
      </w:r>
      <w:r w:rsidR="00AB2536" w:rsidRPr="00C524CC">
        <w:rPr>
          <w:rFonts w:asciiTheme="majorBidi" w:hAnsiTheme="majorBidi" w:cstheme="majorBidi"/>
          <w:i/>
          <w:iCs/>
          <w:color w:val="0070C0"/>
          <w:sz w:val="28"/>
          <w:szCs w:val="28"/>
          <w:rtl/>
        </w:rPr>
        <w:t>ا</w:t>
      </w:r>
      <w:r w:rsidR="00082ECE" w:rsidRPr="00C524CC">
        <w:rPr>
          <w:rFonts w:asciiTheme="majorBidi" w:hAnsiTheme="majorBidi" w:cstheme="majorBidi"/>
          <w:i/>
          <w:iCs/>
          <w:color w:val="0070C0"/>
          <w:sz w:val="28"/>
          <w:szCs w:val="28"/>
          <w:rtl/>
        </w:rPr>
        <w:t>م إرادة الشخص وإلا كان عرضة لعقوبات تأديبية أو جزائية وفقا لمجلة الأخلاقيات الطبية</w:t>
      </w:r>
      <w:r w:rsidR="00082ECE" w:rsidRPr="004C2E55">
        <w:rPr>
          <w:rFonts w:asciiTheme="majorBidi" w:hAnsiTheme="majorBidi" w:cstheme="majorBidi"/>
          <w:i/>
          <w:iCs/>
          <w:sz w:val="28"/>
          <w:szCs w:val="28"/>
          <w:rtl/>
        </w:rPr>
        <w:t>."</w:t>
      </w:r>
      <w:r w:rsidR="00BD4EC7" w:rsidRPr="004C2E55">
        <w:rPr>
          <w:rStyle w:val="Appelnotedebasdep"/>
          <w:rFonts w:asciiTheme="majorBidi" w:hAnsiTheme="majorBidi" w:cstheme="majorBidi"/>
          <w:sz w:val="28"/>
          <w:szCs w:val="28"/>
          <w:rtl/>
        </w:rPr>
        <w:t xml:space="preserve"> </w:t>
      </w:r>
      <w:r w:rsidR="00BD4EC7" w:rsidRPr="004C2E55">
        <w:rPr>
          <w:rStyle w:val="Appelnotedebasdep"/>
          <w:rFonts w:asciiTheme="majorBidi" w:hAnsiTheme="majorBidi" w:cstheme="majorBidi"/>
          <w:sz w:val="28"/>
          <w:szCs w:val="28"/>
          <w:rtl/>
        </w:rPr>
        <w:footnoteReference w:id="16"/>
      </w:r>
      <w:r w:rsidR="002579E8" w:rsidRPr="004C2E55">
        <w:rPr>
          <w:rFonts w:asciiTheme="majorBidi" w:hAnsiTheme="majorBidi" w:cstheme="majorBidi"/>
          <w:i/>
          <w:iCs/>
          <w:sz w:val="24"/>
          <w:szCs w:val="24"/>
          <w:rtl/>
        </w:rPr>
        <w:t xml:space="preserve"> </w:t>
      </w:r>
      <w:r w:rsidR="002579E8" w:rsidRPr="004C2E55">
        <w:rPr>
          <w:rFonts w:asciiTheme="majorBidi" w:hAnsiTheme="majorBidi" w:cstheme="majorBidi"/>
          <w:sz w:val="24"/>
          <w:szCs w:val="24"/>
          <w:highlight w:val="lightGray"/>
          <w:rtl/>
        </w:rPr>
        <w:t>(الفقر</w:t>
      </w:r>
      <w:r w:rsidR="00C27C9C" w:rsidRPr="004C2E55">
        <w:rPr>
          <w:rFonts w:asciiTheme="majorBidi" w:hAnsiTheme="majorBidi" w:cstheme="majorBidi"/>
          <w:sz w:val="24"/>
          <w:szCs w:val="24"/>
          <w:highlight w:val="lightGray"/>
          <w:rtl/>
        </w:rPr>
        <w:t>تين</w:t>
      </w:r>
      <w:r w:rsidR="002579E8" w:rsidRPr="004C2E55">
        <w:rPr>
          <w:rFonts w:asciiTheme="majorBidi" w:hAnsiTheme="majorBidi" w:cstheme="majorBidi"/>
          <w:sz w:val="24"/>
          <w:szCs w:val="24"/>
          <w:highlight w:val="lightGray"/>
          <w:rtl/>
        </w:rPr>
        <w:t xml:space="preserve"> 172-173).</w:t>
      </w:r>
    </w:p>
    <w:p w14:paraId="59B36BF5" w14:textId="212888AC" w:rsidR="00943F8E" w:rsidRPr="004C2E55" w:rsidRDefault="00FD4355"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 xml:space="preserve">يعتبر عرض المسألة بهذه الطريقة </w:t>
      </w:r>
      <w:r w:rsidR="00A33900" w:rsidRPr="004C2E55">
        <w:rPr>
          <w:rFonts w:asciiTheme="majorBidi" w:hAnsiTheme="majorBidi" w:cstheme="majorBidi"/>
          <w:sz w:val="28"/>
          <w:szCs w:val="28"/>
          <w:rtl/>
        </w:rPr>
        <w:t>تلاعب</w:t>
      </w:r>
      <w:r w:rsidRPr="004C2E55">
        <w:rPr>
          <w:rFonts w:asciiTheme="majorBidi" w:hAnsiTheme="majorBidi" w:cstheme="majorBidi"/>
          <w:sz w:val="28"/>
          <w:szCs w:val="28"/>
          <w:rtl/>
        </w:rPr>
        <w:t xml:space="preserve">ا صارخا </w:t>
      </w:r>
      <w:r w:rsidR="00A33900" w:rsidRPr="004C2E55">
        <w:rPr>
          <w:rFonts w:asciiTheme="majorBidi" w:hAnsiTheme="majorBidi" w:cstheme="majorBidi"/>
          <w:sz w:val="28"/>
          <w:szCs w:val="28"/>
          <w:rtl/>
        </w:rPr>
        <w:t xml:space="preserve">بالواقع: </w:t>
      </w:r>
      <w:r w:rsidRPr="004C2E55">
        <w:rPr>
          <w:rFonts w:asciiTheme="majorBidi" w:hAnsiTheme="majorBidi" w:cstheme="majorBidi"/>
          <w:sz w:val="28"/>
          <w:szCs w:val="28"/>
          <w:rtl/>
        </w:rPr>
        <w:t>إذ لم يتم التخلي عن ممارسة</w:t>
      </w:r>
      <w:r w:rsidR="00A33900" w:rsidRPr="004C2E55">
        <w:rPr>
          <w:rFonts w:asciiTheme="majorBidi" w:hAnsiTheme="majorBidi" w:cstheme="majorBidi"/>
          <w:sz w:val="28"/>
          <w:szCs w:val="28"/>
          <w:rtl/>
        </w:rPr>
        <w:t xml:space="preserve"> </w:t>
      </w:r>
      <w:r w:rsidRPr="004C2E55">
        <w:rPr>
          <w:rFonts w:asciiTheme="majorBidi" w:hAnsiTheme="majorBidi" w:cstheme="majorBidi"/>
          <w:sz w:val="28"/>
          <w:szCs w:val="28"/>
          <w:rtl/>
        </w:rPr>
        <w:t>الفحص</w:t>
      </w:r>
      <w:r w:rsidR="00A33900" w:rsidRPr="004C2E55">
        <w:rPr>
          <w:rFonts w:asciiTheme="majorBidi" w:hAnsiTheme="majorBidi" w:cstheme="majorBidi"/>
          <w:sz w:val="28"/>
          <w:szCs w:val="28"/>
          <w:rtl/>
        </w:rPr>
        <w:t xml:space="preserve"> الشرجي منذ </w:t>
      </w:r>
      <w:r w:rsidRPr="004C2E55">
        <w:rPr>
          <w:rFonts w:asciiTheme="majorBidi" w:hAnsiTheme="majorBidi" w:cstheme="majorBidi"/>
          <w:sz w:val="28"/>
          <w:szCs w:val="28"/>
          <w:rtl/>
        </w:rPr>
        <w:t>سنة</w:t>
      </w:r>
      <w:r w:rsidR="00A33900" w:rsidRPr="004C2E55">
        <w:rPr>
          <w:rFonts w:asciiTheme="majorBidi" w:hAnsiTheme="majorBidi" w:cstheme="majorBidi"/>
          <w:sz w:val="28"/>
          <w:szCs w:val="28"/>
          <w:rtl/>
        </w:rPr>
        <w:t xml:space="preserve"> </w:t>
      </w:r>
      <w:proofErr w:type="gramStart"/>
      <w:r w:rsidR="00A33900" w:rsidRPr="004C2E55">
        <w:rPr>
          <w:rFonts w:asciiTheme="majorBidi" w:hAnsiTheme="majorBidi" w:cstheme="majorBidi"/>
          <w:sz w:val="28"/>
          <w:szCs w:val="28"/>
          <w:rtl/>
        </w:rPr>
        <w:t>2017 ،</w:t>
      </w:r>
      <w:proofErr w:type="gramEnd"/>
      <w:r w:rsidR="00A33900" w:rsidRPr="004C2E55">
        <w:rPr>
          <w:rFonts w:asciiTheme="majorBidi" w:hAnsiTheme="majorBidi" w:cstheme="majorBidi"/>
          <w:sz w:val="28"/>
          <w:szCs w:val="28"/>
          <w:rtl/>
        </w:rPr>
        <w:t xml:space="preserve"> لإثبات </w:t>
      </w:r>
      <w:r w:rsidRPr="004C2E55">
        <w:rPr>
          <w:rFonts w:asciiTheme="majorBidi" w:hAnsiTheme="majorBidi" w:cstheme="majorBidi"/>
          <w:sz w:val="28"/>
          <w:szCs w:val="28"/>
          <w:rtl/>
        </w:rPr>
        <w:t>ال</w:t>
      </w:r>
      <w:r w:rsidR="00A33900" w:rsidRPr="004C2E55">
        <w:rPr>
          <w:rFonts w:asciiTheme="majorBidi" w:hAnsiTheme="majorBidi" w:cstheme="majorBidi"/>
          <w:sz w:val="28"/>
          <w:szCs w:val="28"/>
          <w:rtl/>
        </w:rPr>
        <w:t xml:space="preserve">مثلية </w:t>
      </w:r>
      <w:r w:rsidRPr="004C2E55">
        <w:rPr>
          <w:rFonts w:asciiTheme="majorBidi" w:hAnsiTheme="majorBidi" w:cstheme="majorBidi"/>
          <w:sz w:val="28"/>
          <w:szCs w:val="28"/>
          <w:rtl/>
        </w:rPr>
        <w:t>الجنسية لبعض الأفراد. اذ تؤكد ذلك</w:t>
      </w:r>
      <w:r w:rsidR="00A33900" w:rsidRPr="004C2E55">
        <w:rPr>
          <w:rFonts w:asciiTheme="majorBidi" w:hAnsiTheme="majorBidi" w:cstheme="majorBidi"/>
          <w:sz w:val="28"/>
          <w:szCs w:val="28"/>
          <w:rtl/>
        </w:rPr>
        <w:t xml:space="preserve"> عشرات القرا</w:t>
      </w:r>
      <w:r w:rsidRPr="004C2E55">
        <w:rPr>
          <w:rFonts w:asciiTheme="majorBidi" w:hAnsiTheme="majorBidi" w:cstheme="majorBidi"/>
          <w:sz w:val="28"/>
          <w:szCs w:val="28"/>
          <w:rtl/>
        </w:rPr>
        <w:t>رات الصادرة عن المحاكم</w:t>
      </w:r>
      <w:r w:rsidR="00A33900" w:rsidRPr="004C2E55">
        <w:rPr>
          <w:rFonts w:asciiTheme="majorBidi" w:hAnsiTheme="majorBidi" w:cstheme="majorBidi"/>
          <w:sz w:val="28"/>
          <w:szCs w:val="28"/>
          <w:rtl/>
        </w:rPr>
        <w:t xml:space="preserve">، بينما </w:t>
      </w:r>
      <w:r w:rsidRPr="004C2E55">
        <w:rPr>
          <w:rFonts w:asciiTheme="majorBidi" w:hAnsiTheme="majorBidi" w:cstheme="majorBidi"/>
          <w:sz w:val="28"/>
          <w:szCs w:val="28"/>
          <w:rtl/>
        </w:rPr>
        <w:t>التزمت</w:t>
      </w:r>
      <w:r w:rsidR="00A33900" w:rsidRPr="004C2E55">
        <w:rPr>
          <w:rFonts w:asciiTheme="majorBidi" w:hAnsiTheme="majorBidi" w:cstheme="majorBidi"/>
          <w:sz w:val="28"/>
          <w:szCs w:val="28"/>
          <w:rtl/>
        </w:rPr>
        <w:t xml:space="preserve"> تونس منذ </w:t>
      </w:r>
      <w:r w:rsidRPr="004C2E55">
        <w:rPr>
          <w:rFonts w:asciiTheme="majorBidi" w:hAnsiTheme="majorBidi" w:cstheme="majorBidi"/>
          <w:sz w:val="28"/>
          <w:szCs w:val="28"/>
          <w:rtl/>
        </w:rPr>
        <w:t>ذلك التاريخ</w:t>
      </w:r>
      <w:r w:rsidR="00A33900" w:rsidRPr="004C2E55">
        <w:rPr>
          <w:rFonts w:asciiTheme="majorBidi" w:hAnsiTheme="majorBidi" w:cstheme="majorBidi"/>
          <w:sz w:val="28"/>
          <w:szCs w:val="28"/>
          <w:rtl/>
        </w:rPr>
        <w:t xml:space="preserve"> بعدم ممارسة </w:t>
      </w:r>
      <w:r w:rsidRPr="004C2E55">
        <w:rPr>
          <w:rFonts w:asciiTheme="majorBidi" w:hAnsiTheme="majorBidi" w:cstheme="majorBidi"/>
          <w:sz w:val="28"/>
          <w:szCs w:val="28"/>
          <w:rtl/>
        </w:rPr>
        <w:t>مثل هذه</w:t>
      </w:r>
      <w:r w:rsidR="00A33900" w:rsidRPr="004C2E55">
        <w:rPr>
          <w:rFonts w:asciiTheme="majorBidi" w:hAnsiTheme="majorBidi" w:cstheme="majorBidi"/>
          <w:sz w:val="28"/>
          <w:szCs w:val="28"/>
          <w:rtl/>
        </w:rPr>
        <w:t xml:space="preserve"> </w:t>
      </w:r>
      <w:r w:rsidRPr="004C2E55">
        <w:rPr>
          <w:rFonts w:asciiTheme="majorBidi" w:hAnsiTheme="majorBidi" w:cstheme="majorBidi"/>
          <w:sz w:val="28"/>
          <w:szCs w:val="28"/>
          <w:rtl/>
        </w:rPr>
        <w:t>الفحوصات</w:t>
      </w:r>
      <w:r w:rsidR="00A33900" w:rsidRPr="004C2E55">
        <w:rPr>
          <w:rFonts w:asciiTheme="majorBidi" w:hAnsiTheme="majorBidi" w:cstheme="majorBidi"/>
          <w:sz w:val="28"/>
          <w:szCs w:val="28"/>
          <w:rtl/>
        </w:rPr>
        <w:t xml:space="preserve">! وتؤكد هذه القرارات أيضا أن رفض </w:t>
      </w:r>
      <w:r w:rsidRPr="004C2E55">
        <w:rPr>
          <w:rFonts w:asciiTheme="majorBidi" w:hAnsiTheme="majorBidi" w:cstheme="majorBidi"/>
          <w:sz w:val="28"/>
          <w:szCs w:val="28"/>
          <w:rtl/>
        </w:rPr>
        <w:t>الفحص</w:t>
      </w:r>
      <w:r w:rsidR="00A33900" w:rsidRPr="004C2E55">
        <w:rPr>
          <w:rFonts w:asciiTheme="majorBidi" w:hAnsiTheme="majorBidi" w:cstheme="majorBidi"/>
          <w:sz w:val="28"/>
          <w:szCs w:val="28"/>
          <w:rtl/>
        </w:rPr>
        <w:t xml:space="preserve"> الشرجي يعتبره القضاة قرينة على المثلية الجنسية. وهذا ما أكده الخبير المستقل المعني بالحماية من العنف والتمييز على أساس التوجه الجنسي خلال زيارته إلى تونس في </w:t>
      </w:r>
      <w:r w:rsidRPr="004C2E55">
        <w:rPr>
          <w:rFonts w:asciiTheme="majorBidi" w:hAnsiTheme="majorBidi" w:cstheme="majorBidi"/>
          <w:sz w:val="28"/>
          <w:szCs w:val="28"/>
          <w:rtl/>
        </w:rPr>
        <w:t>جوان</w:t>
      </w:r>
      <w:r w:rsidR="00A33900" w:rsidRPr="004C2E55">
        <w:rPr>
          <w:rFonts w:asciiTheme="majorBidi" w:hAnsiTheme="majorBidi" w:cstheme="majorBidi"/>
          <w:sz w:val="28"/>
          <w:szCs w:val="28"/>
          <w:rtl/>
        </w:rPr>
        <w:t xml:space="preserve"> 2021</w:t>
      </w:r>
      <w:r w:rsidR="00A33900" w:rsidRPr="004C2E55">
        <w:rPr>
          <w:rFonts w:asciiTheme="majorBidi" w:hAnsiTheme="majorBidi" w:cstheme="majorBidi"/>
          <w:sz w:val="28"/>
          <w:szCs w:val="28"/>
        </w:rPr>
        <w:t>.</w:t>
      </w:r>
    </w:p>
    <w:p w14:paraId="186C5996" w14:textId="77777777" w:rsidR="005131ED" w:rsidRPr="004C2E55" w:rsidRDefault="005131ED" w:rsidP="004C2E55">
      <w:pPr>
        <w:spacing w:after="0" w:line="240" w:lineRule="auto"/>
        <w:jc w:val="both"/>
        <w:rPr>
          <w:rFonts w:asciiTheme="majorBidi" w:hAnsiTheme="majorBidi" w:cstheme="majorBidi"/>
          <w:sz w:val="28"/>
          <w:szCs w:val="28"/>
          <w:rtl/>
        </w:rPr>
      </w:pPr>
    </w:p>
    <w:p w14:paraId="0FB59601" w14:textId="701E782F" w:rsidR="005131ED" w:rsidRPr="004C2E55" w:rsidRDefault="005131ED" w:rsidP="004C2E55">
      <w:pPr>
        <w:bidi/>
        <w:spacing w:after="0" w:line="240" w:lineRule="auto"/>
        <w:jc w:val="both"/>
        <w:rPr>
          <w:rFonts w:asciiTheme="majorBidi" w:hAnsiTheme="majorBidi" w:cstheme="majorBidi"/>
          <w:i/>
          <w:iCs/>
          <w:sz w:val="28"/>
          <w:szCs w:val="28"/>
          <w:rtl/>
        </w:rPr>
      </w:pPr>
      <w:r w:rsidRPr="004C2E55">
        <w:rPr>
          <w:rFonts w:asciiTheme="majorBidi" w:hAnsiTheme="majorBidi" w:cstheme="majorBidi"/>
          <w:sz w:val="28"/>
          <w:szCs w:val="28"/>
          <w:rtl/>
        </w:rPr>
        <w:t>-</w:t>
      </w:r>
      <w:r w:rsidRPr="004C2E55">
        <w:rPr>
          <w:rFonts w:asciiTheme="majorBidi" w:hAnsiTheme="majorBidi" w:cstheme="majorBidi"/>
          <w:i/>
          <w:iCs/>
          <w:sz w:val="28"/>
          <w:szCs w:val="28"/>
          <w:rtl/>
        </w:rPr>
        <w:t>الحقوق الاقتصادية والاجتماعية والثقافية للأمازيغ</w:t>
      </w:r>
    </w:p>
    <w:p w14:paraId="2B0FEF60" w14:textId="6D7AB447" w:rsidR="005131ED" w:rsidRPr="004C2E55" w:rsidRDefault="000E0823" w:rsidP="004C2E55">
      <w:pPr>
        <w:bidi/>
        <w:spacing w:after="0" w:line="240" w:lineRule="auto"/>
        <w:jc w:val="both"/>
        <w:rPr>
          <w:rFonts w:asciiTheme="majorBidi" w:hAnsiTheme="majorBidi" w:cstheme="majorBidi"/>
          <w:sz w:val="28"/>
          <w:szCs w:val="28"/>
          <w:rtl/>
        </w:rPr>
      </w:pPr>
      <w:r w:rsidRPr="00C524CC">
        <w:rPr>
          <w:rFonts w:asciiTheme="majorBidi" w:hAnsiTheme="majorBidi" w:cstheme="majorBidi"/>
          <w:i/>
          <w:iCs/>
          <w:color w:val="0070C0"/>
          <w:sz w:val="28"/>
          <w:szCs w:val="28"/>
          <w:rtl/>
        </w:rPr>
        <w:t>"</w:t>
      </w:r>
      <w:r w:rsidR="00747A56" w:rsidRPr="00C524CC">
        <w:rPr>
          <w:rFonts w:asciiTheme="majorBidi" w:hAnsiTheme="majorBidi" w:cstheme="majorBidi"/>
          <w:i/>
          <w:iCs/>
          <w:color w:val="0070C0"/>
          <w:sz w:val="28"/>
          <w:szCs w:val="28"/>
          <w:rtl/>
        </w:rPr>
        <w:t>وحيث يمثل الأمازيغ جزء مهما من النسيج الاجتماعي فإنهم يتمتعون بحقوقهم في جميع المجالات دون تمييز أو إقصاء أو تهميش. وتعمل المؤسسات التربوية والثقافية على إحياء الموروث الثقافي الأمازيغي في كل المناسبات. وتقوم المدرسة أساسا على تأصيل وترسي</w:t>
      </w:r>
      <w:r w:rsidRPr="00C524CC">
        <w:rPr>
          <w:rFonts w:asciiTheme="majorBidi" w:hAnsiTheme="majorBidi" w:cstheme="majorBidi"/>
          <w:i/>
          <w:iCs/>
          <w:color w:val="0070C0"/>
          <w:sz w:val="28"/>
          <w:szCs w:val="28"/>
          <w:rtl/>
        </w:rPr>
        <w:t>خ</w:t>
      </w:r>
      <w:r w:rsidR="00747A56" w:rsidRPr="00C524CC">
        <w:rPr>
          <w:rFonts w:asciiTheme="majorBidi" w:hAnsiTheme="majorBidi" w:cstheme="majorBidi"/>
          <w:i/>
          <w:iCs/>
          <w:color w:val="0070C0"/>
          <w:sz w:val="28"/>
          <w:szCs w:val="28"/>
          <w:rtl/>
        </w:rPr>
        <w:t xml:space="preserve"> هذا الانتماء </w:t>
      </w:r>
      <w:r w:rsidRPr="00C524CC">
        <w:rPr>
          <w:rFonts w:asciiTheme="majorBidi" w:hAnsiTheme="majorBidi" w:cstheme="majorBidi"/>
          <w:i/>
          <w:iCs/>
          <w:color w:val="0070C0"/>
          <w:sz w:val="28"/>
          <w:szCs w:val="28"/>
          <w:rtl/>
        </w:rPr>
        <w:t>والاعتزاز به في كل مكوناته التاريخية والحضارية. وسيتم بداية من سنة</w:t>
      </w:r>
      <w:r w:rsidR="00747A56" w:rsidRPr="00C524CC">
        <w:rPr>
          <w:rFonts w:asciiTheme="majorBidi" w:hAnsiTheme="majorBidi" w:cstheme="majorBidi"/>
          <w:i/>
          <w:iCs/>
          <w:color w:val="0070C0"/>
          <w:sz w:val="28"/>
          <w:szCs w:val="28"/>
          <w:rtl/>
        </w:rPr>
        <w:t xml:space="preserve"> 2024 </w:t>
      </w:r>
      <w:r w:rsidRPr="00C524CC">
        <w:rPr>
          <w:rFonts w:asciiTheme="majorBidi" w:hAnsiTheme="majorBidi" w:cstheme="majorBidi"/>
          <w:i/>
          <w:iCs/>
          <w:color w:val="0070C0"/>
          <w:sz w:val="28"/>
          <w:szCs w:val="28"/>
          <w:rtl/>
        </w:rPr>
        <w:t xml:space="preserve">ادراج الثقافة الأمازيغية </w:t>
      </w:r>
      <w:r w:rsidR="00AB2536" w:rsidRPr="00C524CC">
        <w:rPr>
          <w:rFonts w:asciiTheme="majorBidi" w:hAnsiTheme="majorBidi" w:cstheme="majorBidi"/>
          <w:i/>
          <w:iCs/>
          <w:color w:val="0070C0"/>
          <w:sz w:val="28"/>
          <w:szCs w:val="28"/>
          <w:rtl/>
        </w:rPr>
        <w:t>صلب</w:t>
      </w:r>
      <w:r w:rsidRPr="00C524CC">
        <w:rPr>
          <w:rFonts w:asciiTheme="majorBidi" w:hAnsiTheme="majorBidi" w:cstheme="majorBidi"/>
          <w:i/>
          <w:iCs/>
          <w:color w:val="0070C0"/>
          <w:sz w:val="28"/>
          <w:szCs w:val="28"/>
          <w:rtl/>
        </w:rPr>
        <w:t xml:space="preserve"> متممات البرنامج الدراسي</w:t>
      </w:r>
      <w:r w:rsidR="00747A56" w:rsidRPr="00C524CC">
        <w:rPr>
          <w:rFonts w:asciiTheme="majorBidi" w:hAnsiTheme="majorBidi" w:cstheme="majorBidi"/>
          <w:i/>
          <w:iCs/>
          <w:color w:val="0070C0"/>
          <w:sz w:val="28"/>
          <w:szCs w:val="28"/>
          <w:rtl/>
        </w:rPr>
        <w:t xml:space="preserve"> </w:t>
      </w:r>
      <w:r w:rsidRPr="00C524CC">
        <w:rPr>
          <w:rFonts w:asciiTheme="majorBidi" w:hAnsiTheme="majorBidi" w:cstheme="majorBidi"/>
          <w:i/>
          <w:iCs/>
          <w:color w:val="0070C0"/>
          <w:sz w:val="28"/>
          <w:szCs w:val="28"/>
          <w:rtl/>
        </w:rPr>
        <w:t>الرس</w:t>
      </w:r>
      <w:r w:rsidR="00747A56" w:rsidRPr="00C524CC">
        <w:rPr>
          <w:rFonts w:asciiTheme="majorBidi" w:hAnsiTheme="majorBidi" w:cstheme="majorBidi"/>
          <w:i/>
          <w:iCs/>
          <w:color w:val="0070C0"/>
          <w:sz w:val="28"/>
          <w:szCs w:val="28"/>
          <w:rtl/>
        </w:rPr>
        <w:t>مي</w:t>
      </w:r>
      <w:r w:rsidRPr="00C524CC">
        <w:rPr>
          <w:rFonts w:asciiTheme="majorBidi" w:hAnsiTheme="majorBidi" w:cstheme="majorBidi"/>
          <w:i/>
          <w:iCs/>
          <w:color w:val="0070C0"/>
          <w:sz w:val="28"/>
          <w:szCs w:val="28"/>
          <w:rtl/>
        </w:rPr>
        <w:t xml:space="preserve"> </w:t>
      </w:r>
      <w:r w:rsidR="00747A56" w:rsidRPr="00C524CC">
        <w:rPr>
          <w:rFonts w:asciiTheme="majorBidi" w:hAnsiTheme="majorBidi" w:cstheme="majorBidi"/>
          <w:i/>
          <w:iCs/>
          <w:color w:val="0070C0"/>
          <w:sz w:val="28"/>
          <w:szCs w:val="28"/>
          <w:rtl/>
        </w:rPr>
        <w:t>عب</w:t>
      </w:r>
      <w:r w:rsidRPr="00C524CC">
        <w:rPr>
          <w:rFonts w:asciiTheme="majorBidi" w:hAnsiTheme="majorBidi" w:cstheme="majorBidi"/>
          <w:i/>
          <w:iCs/>
          <w:color w:val="0070C0"/>
          <w:sz w:val="28"/>
          <w:szCs w:val="28"/>
          <w:rtl/>
        </w:rPr>
        <w:t>ر أنشطة ثقافية تؤمنها نواد لل</w:t>
      </w:r>
      <w:r w:rsidR="00747A56" w:rsidRPr="00C524CC">
        <w:rPr>
          <w:rFonts w:asciiTheme="majorBidi" w:hAnsiTheme="majorBidi" w:cstheme="majorBidi"/>
          <w:i/>
          <w:iCs/>
          <w:color w:val="0070C0"/>
          <w:sz w:val="28"/>
          <w:szCs w:val="28"/>
          <w:rtl/>
        </w:rPr>
        <w:t>ر</w:t>
      </w:r>
      <w:r w:rsidRPr="00C524CC">
        <w:rPr>
          <w:rFonts w:asciiTheme="majorBidi" w:hAnsiTheme="majorBidi" w:cstheme="majorBidi"/>
          <w:i/>
          <w:iCs/>
          <w:color w:val="0070C0"/>
          <w:sz w:val="28"/>
          <w:szCs w:val="28"/>
          <w:rtl/>
        </w:rPr>
        <w:t>ا</w:t>
      </w:r>
      <w:r w:rsidR="00747A56" w:rsidRPr="00C524CC">
        <w:rPr>
          <w:rFonts w:asciiTheme="majorBidi" w:hAnsiTheme="majorBidi" w:cstheme="majorBidi"/>
          <w:i/>
          <w:iCs/>
          <w:color w:val="0070C0"/>
          <w:sz w:val="28"/>
          <w:szCs w:val="28"/>
          <w:rtl/>
        </w:rPr>
        <w:t>غبين في ذلك</w:t>
      </w:r>
      <w:r w:rsidR="00747A56" w:rsidRPr="004C2E55">
        <w:rPr>
          <w:rFonts w:asciiTheme="majorBidi" w:hAnsiTheme="majorBidi" w:cstheme="majorBidi"/>
          <w:i/>
          <w:iCs/>
          <w:sz w:val="28"/>
          <w:szCs w:val="28"/>
          <w:rtl/>
        </w:rPr>
        <w:t>.</w:t>
      </w:r>
      <w:r w:rsidR="00C27C9C" w:rsidRPr="004C2E55">
        <w:rPr>
          <w:rStyle w:val="Appelnotedebasdep"/>
          <w:rFonts w:asciiTheme="majorBidi" w:hAnsiTheme="majorBidi" w:cstheme="majorBidi"/>
          <w:sz w:val="28"/>
          <w:szCs w:val="28"/>
          <w:rtl/>
        </w:rPr>
        <w:t xml:space="preserve"> </w:t>
      </w:r>
      <w:r w:rsidR="00C27C9C" w:rsidRPr="004C2E55">
        <w:rPr>
          <w:rStyle w:val="Appelnotedebasdep"/>
          <w:rFonts w:asciiTheme="majorBidi" w:hAnsiTheme="majorBidi" w:cstheme="majorBidi"/>
          <w:sz w:val="28"/>
          <w:szCs w:val="28"/>
          <w:rtl/>
        </w:rPr>
        <w:footnoteReference w:id="17"/>
      </w:r>
      <w:r w:rsidRPr="004C2E55">
        <w:rPr>
          <w:rFonts w:asciiTheme="majorBidi" w:hAnsiTheme="majorBidi" w:cstheme="majorBidi"/>
          <w:i/>
          <w:iCs/>
          <w:sz w:val="28"/>
          <w:szCs w:val="28"/>
          <w:rtl/>
        </w:rPr>
        <w:t>"</w:t>
      </w:r>
      <w:r w:rsidR="00337E97" w:rsidRPr="004C2E55">
        <w:rPr>
          <w:rFonts w:asciiTheme="majorBidi" w:hAnsiTheme="majorBidi" w:cstheme="majorBidi"/>
          <w:sz w:val="24"/>
          <w:szCs w:val="24"/>
          <w:highlight w:val="lightGray"/>
          <w:rtl/>
        </w:rPr>
        <w:t>(الفقرات 246-248)</w:t>
      </w:r>
      <w:r w:rsidR="00D732FA" w:rsidRPr="004C2E55">
        <w:rPr>
          <w:rFonts w:asciiTheme="majorBidi" w:hAnsiTheme="majorBidi" w:cstheme="majorBidi"/>
          <w:sz w:val="24"/>
          <w:szCs w:val="24"/>
          <w:highlight w:val="lightGray"/>
          <w:rtl/>
        </w:rPr>
        <w:t>.</w:t>
      </w:r>
    </w:p>
    <w:p w14:paraId="0358DD4B" w14:textId="4FADFCA0" w:rsidR="00BD4EC7" w:rsidRPr="004C2E55" w:rsidRDefault="006B234E" w:rsidP="004C2E55">
      <w:pPr>
        <w:bidi/>
        <w:spacing w:after="0" w:line="240" w:lineRule="auto"/>
        <w:jc w:val="both"/>
        <w:rPr>
          <w:rFonts w:asciiTheme="majorBidi" w:hAnsiTheme="majorBidi" w:cstheme="majorBidi"/>
          <w:sz w:val="28"/>
          <w:szCs w:val="28"/>
          <w:rtl/>
        </w:rPr>
      </w:pPr>
      <w:r w:rsidRPr="004C2E55">
        <w:rPr>
          <w:rFonts w:asciiTheme="majorBidi" w:hAnsiTheme="majorBidi" w:cstheme="majorBidi"/>
          <w:sz w:val="28"/>
          <w:szCs w:val="28"/>
          <w:rtl/>
        </w:rPr>
        <w:t xml:space="preserve">تخفي هذه التصريحات الواردة في التقرير الوطني أكاذيب صارخة. فمن ناحية، لا يوجد اعتراف رسمي بالثقافة والهوية الأمازيغية. ومن ناحية أخرى، فإن القول بأنه </w:t>
      </w:r>
      <w:r w:rsidR="003248D7" w:rsidRPr="004C2E55">
        <w:rPr>
          <w:rFonts w:asciiTheme="majorBidi" w:hAnsiTheme="majorBidi" w:cstheme="majorBidi"/>
          <w:sz w:val="28"/>
          <w:szCs w:val="28"/>
          <w:rtl/>
        </w:rPr>
        <w:t>بداية</w:t>
      </w:r>
      <w:r w:rsidRPr="004C2E55">
        <w:rPr>
          <w:rFonts w:asciiTheme="majorBidi" w:hAnsiTheme="majorBidi" w:cstheme="majorBidi"/>
          <w:sz w:val="28"/>
          <w:szCs w:val="28"/>
          <w:rtl/>
        </w:rPr>
        <w:t xml:space="preserve"> من سنة 2024 سيكون هناك </w:t>
      </w:r>
      <w:r w:rsidR="006758D3" w:rsidRPr="004C2E55">
        <w:rPr>
          <w:rFonts w:asciiTheme="majorBidi" w:hAnsiTheme="majorBidi" w:cstheme="majorBidi"/>
          <w:sz w:val="28"/>
          <w:szCs w:val="28"/>
          <w:rtl/>
        </w:rPr>
        <w:t>ادماج</w:t>
      </w:r>
      <w:r w:rsidRPr="004C2E55">
        <w:rPr>
          <w:rFonts w:asciiTheme="majorBidi" w:hAnsiTheme="majorBidi" w:cstheme="majorBidi"/>
          <w:sz w:val="28"/>
          <w:szCs w:val="28"/>
          <w:rtl/>
        </w:rPr>
        <w:t xml:space="preserve"> للثقافة الأمازيغية في المناهج الدراسية الرسمية، عبر النوادي، هو </w:t>
      </w:r>
      <w:r w:rsidR="003248D7" w:rsidRPr="004C2E55">
        <w:rPr>
          <w:rFonts w:asciiTheme="majorBidi" w:hAnsiTheme="majorBidi" w:cstheme="majorBidi"/>
          <w:sz w:val="28"/>
          <w:szCs w:val="28"/>
          <w:rtl/>
        </w:rPr>
        <w:t>طمس للواقع</w:t>
      </w:r>
      <w:r w:rsidRPr="004C2E55">
        <w:rPr>
          <w:rFonts w:asciiTheme="majorBidi" w:hAnsiTheme="majorBidi" w:cstheme="majorBidi"/>
          <w:sz w:val="28"/>
          <w:szCs w:val="28"/>
          <w:rtl/>
        </w:rPr>
        <w:t xml:space="preserve">، لأن </w:t>
      </w:r>
      <w:r w:rsidR="006758D3" w:rsidRPr="004C2E55">
        <w:rPr>
          <w:rFonts w:asciiTheme="majorBidi" w:hAnsiTheme="majorBidi" w:cstheme="majorBidi"/>
          <w:sz w:val="28"/>
          <w:szCs w:val="28"/>
          <w:rtl/>
        </w:rPr>
        <w:t>النوادي</w:t>
      </w:r>
      <w:r w:rsidRPr="004C2E55">
        <w:rPr>
          <w:rFonts w:asciiTheme="majorBidi" w:hAnsiTheme="majorBidi" w:cstheme="majorBidi"/>
          <w:sz w:val="28"/>
          <w:szCs w:val="28"/>
          <w:rtl/>
        </w:rPr>
        <w:t xml:space="preserve"> ليست جزءا من المناهج الدراسية. خاصة وأن التقرير لا يتناول اللغة الأمازيغية </w:t>
      </w:r>
      <w:r w:rsidR="006758D3" w:rsidRPr="004C2E55">
        <w:rPr>
          <w:rFonts w:asciiTheme="majorBidi" w:hAnsiTheme="majorBidi" w:cstheme="majorBidi"/>
          <w:sz w:val="28"/>
          <w:szCs w:val="28"/>
          <w:rtl/>
        </w:rPr>
        <w:t>و</w:t>
      </w:r>
      <w:r w:rsidRPr="004C2E55">
        <w:rPr>
          <w:rFonts w:asciiTheme="majorBidi" w:hAnsiTheme="majorBidi" w:cstheme="majorBidi"/>
          <w:sz w:val="28"/>
          <w:szCs w:val="28"/>
          <w:rtl/>
        </w:rPr>
        <w:t xml:space="preserve">التي هي المطلب الرئيسي </w:t>
      </w:r>
      <w:r w:rsidR="006758D3" w:rsidRPr="004C2E55">
        <w:rPr>
          <w:rFonts w:asciiTheme="majorBidi" w:hAnsiTheme="majorBidi" w:cstheme="majorBidi"/>
          <w:sz w:val="28"/>
          <w:szCs w:val="28"/>
          <w:rtl/>
        </w:rPr>
        <w:t>للناطقين</w:t>
      </w:r>
      <w:r w:rsidRPr="004C2E55">
        <w:rPr>
          <w:rFonts w:asciiTheme="majorBidi" w:hAnsiTheme="majorBidi" w:cstheme="majorBidi"/>
          <w:sz w:val="28"/>
          <w:szCs w:val="28"/>
          <w:rtl/>
        </w:rPr>
        <w:t xml:space="preserve"> </w:t>
      </w:r>
      <w:r w:rsidR="006758D3" w:rsidRPr="004C2E55">
        <w:rPr>
          <w:rFonts w:asciiTheme="majorBidi" w:hAnsiTheme="majorBidi" w:cstheme="majorBidi"/>
          <w:sz w:val="28"/>
          <w:szCs w:val="28"/>
          <w:rtl/>
        </w:rPr>
        <w:t>بالأمازيغية</w:t>
      </w:r>
      <w:r w:rsidR="00C61CF8" w:rsidRPr="004C2E55">
        <w:rPr>
          <w:rFonts w:asciiTheme="majorBidi" w:hAnsiTheme="majorBidi" w:cstheme="majorBidi"/>
          <w:sz w:val="28"/>
          <w:szCs w:val="28"/>
          <w:rtl/>
        </w:rPr>
        <w:t>.</w:t>
      </w:r>
    </w:p>
    <w:p w14:paraId="1E4CACAF" w14:textId="77777777" w:rsidR="00BD4EC7" w:rsidRPr="004C2E55" w:rsidRDefault="00BD4EC7" w:rsidP="004C2E55">
      <w:pPr>
        <w:spacing w:after="0" w:line="240" w:lineRule="auto"/>
        <w:jc w:val="both"/>
        <w:rPr>
          <w:rFonts w:asciiTheme="majorBidi" w:hAnsiTheme="majorBidi" w:cstheme="majorBidi"/>
          <w:sz w:val="28"/>
          <w:szCs w:val="28"/>
          <w:rtl/>
        </w:rPr>
      </w:pPr>
    </w:p>
    <w:p w14:paraId="793525A0" w14:textId="30F9BDD2" w:rsidR="00C61CF8" w:rsidRPr="004C2E55" w:rsidRDefault="00C61CF8" w:rsidP="004C2E55">
      <w:pPr>
        <w:bidi/>
        <w:spacing w:after="0" w:line="240" w:lineRule="auto"/>
        <w:jc w:val="both"/>
        <w:rPr>
          <w:rFonts w:asciiTheme="majorBidi" w:hAnsiTheme="majorBidi" w:cstheme="majorBidi"/>
          <w:b/>
          <w:bCs/>
          <w:sz w:val="28"/>
          <w:szCs w:val="28"/>
        </w:rPr>
      </w:pPr>
      <w:r w:rsidRPr="004C2E55">
        <w:rPr>
          <w:rFonts w:asciiTheme="majorBidi" w:hAnsiTheme="majorBidi" w:cstheme="majorBidi"/>
          <w:b/>
          <w:bCs/>
          <w:sz w:val="28"/>
          <w:szCs w:val="28"/>
          <w:rtl/>
        </w:rPr>
        <w:t>الخلاصة: متى سنعترف بأخطائنا؟</w:t>
      </w:r>
    </w:p>
    <w:p w14:paraId="4BE55718" w14:textId="65ADAD16" w:rsidR="00166112" w:rsidRPr="004C2E55" w:rsidRDefault="00C61CF8" w:rsidP="004C2E55">
      <w:pPr>
        <w:bidi/>
        <w:spacing w:after="0" w:line="240" w:lineRule="auto"/>
        <w:jc w:val="both"/>
        <w:rPr>
          <w:rFonts w:asciiTheme="majorBidi" w:hAnsiTheme="majorBidi" w:cstheme="majorBidi"/>
          <w:sz w:val="28"/>
          <w:szCs w:val="28"/>
        </w:rPr>
      </w:pPr>
      <w:r w:rsidRPr="004C2E55">
        <w:rPr>
          <w:rFonts w:asciiTheme="majorBidi" w:hAnsiTheme="majorBidi" w:cstheme="majorBidi"/>
          <w:sz w:val="28"/>
          <w:szCs w:val="28"/>
          <w:rtl/>
        </w:rPr>
        <w:t xml:space="preserve">يذكرنا تقرير سنة 2022 بتقرير سنة 2008، وبدرجة أقل، بتقرير سنة 2012، في عرضه للحقائق والإنجازات والتحديات والمبادرات. ويشمل الدفاع عن الانتهاكات التي لا يمكن الدفاع عنها وخاصة انتهاكات حقوق الإنسان وفشل السلطات </w:t>
      </w:r>
      <w:r w:rsidR="00AB2536" w:rsidRPr="004C2E55">
        <w:rPr>
          <w:rFonts w:asciiTheme="majorBidi" w:hAnsiTheme="majorBidi" w:cstheme="majorBidi"/>
          <w:sz w:val="28"/>
          <w:szCs w:val="28"/>
          <w:rtl/>
        </w:rPr>
        <w:t>العمومية</w:t>
      </w:r>
      <w:r w:rsidRPr="004C2E55">
        <w:rPr>
          <w:rFonts w:asciiTheme="majorBidi" w:hAnsiTheme="majorBidi" w:cstheme="majorBidi"/>
          <w:sz w:val="28"/>
          <w:szCs w:val="28"/>
          <w:rtl/>
        </w:rPr>
        <w:t xml:space="preserve"> أو حتى تواطؤها</w:t>
      </w:r>
      <w:r w:rsidRPr="004C2E55">
        <w:rPr>
          <w:rFonts w:asciiTheme="majorBidi" w:hAnsiTheme="majorBidi" w:cstheme="majorBidi"/>
          <w:sz w:val="28"/>
          <w:szCs w:val="28"/>
        </w:rPr>
        <w:t>!</w:t>
      </w:r>
    </w:p>
    <w:p w14:paraId="316997C4" w14:textId="230841C7" w:rsidR="00166112" w:rsidRPr="004C2E55" w:rsidRDefault="00166112" w:rsidP="004C2E55">
      <w:pPr>
        <w:bidi/>
        <w:spacing w:after="0" w:line="240" w:lineRule="auto"/>
        <w:jc w:val="both"/>
        <w:rPr>
          <w:rFonts w:asciiTheme="majorBidi" w:hAnsiTheme="majorBidi" w:cstheme="majorBidi"/>
          <w:sz w:val="28"/>
          <w:szCs w:val="28"/>
        </w:rPr>
      </w:pPr>
      <w:proofErr w:type="gramStart"/>
      <w:r w:rsidRPr="004C2E55">
        <w:rPr>
          <w:rFonts w:asciiTheme="majorBidi" w:hAnsiTheme="majorBidi" w:cstheme="majorBidi"/>
          <w:sz w:val="28"/>
          <w:szCs w:val="28"/>
          <w:rtl/>
        </w:rPr>
        <w:t>لازلنا</w:t>
      </w:r>
      <w:proofErr w:type="gramEnd"/>
      <w:r w:rsidRPr="004C2E55">
        <w:rPr>
          <w:rFonts w:asciiTheme="majorBidi" w:hAnsiTheme="majorBidi" w:cstheme="majorBidi"/>
          <w:sz w:val="28"/>
          <w:szCs w:val="28"/>
          <w:rtl/>
        </w:rPr>
        <w:t xml:space="preserve"> </w:t>
      </w:r>
      <w:r w:rsidR="00482FD4" w:rsidRPr="004C2E55">
        <w:rPr>
          <w:rFonts w:asciiTheme="majorBidi" w:hAnsiTheme="majorBidi" w:cstheme="majorBidi"/>
          <w:sz w:val="28"/>
          <w:szCs w:val="28"/>
          <w:rtl/>
        </w:rPr>
        <w:t>ناسف</w:t>
      </w:r>
      <w:r w:rsidRPr="004C2E55">
        <w:rPr>
          <w:rFonts w:asciiTheme="majorBidi" w:hAnsiTheme="majorBidi" w:cstheme="majorBidi"/>
          <w:sz w:val="28"/>
          <w:szCs w:val="28"/>
          <w:rtl/>
        </w:rPr>
        <w:t xml:space="preserve"> لأنصاف الحقائق والأكاذيب </w:t>
      </w:r>
      <w:r w:rsidR="00482FD4" w:rsidRPr="004C2E55">
        <w:rPr>
          <w:rFonts w:asciiTheme="majorBidi" w:hAnsiTheme="majorBidi" w:cstheme="majorBidi"/>
          <w:sz w:val="28"/>
          <w:szCs w:val="28"/>
          <w:rtl/>
        </w:rPr>
        <w:t>وناسف</w:t>
      </w:r>
      <w:r w:rsidRPr="004C2E55">
        <w:rPr>
          <w:rFonts w:asciiTheme="majorBidi" w:hAnsiTheme="majorBidi" w:cstheme="majorBidi"/>
          <w:sz w:val="28"/>
          <w:szCs w:val="28"/>
          <w:rtl/>
        </w:rPr>
        <w:t xml:space="preserve"> للحقوق التي غيبها هذا التقرير تماما ألا وهي: الحقوق البيئية والحقوق الثقافية والفنية والعدالة الانتقالية وحرية الضمير والدين، على الرغم من التوصيات العديدة التي قدمت إلى تونس سنة 2017، حول هذه المواضيع وإعداد تقارير منظمات المجتمع المدني التي شاركت في الاستشارات التي نظمتها اللجنة المكلفة بإعداد التقارير والتي قامت بصياغة توصيات في هذا الاتجاه</w:t>
      </w:r>
      <w:r w:rsidRPr="004C2E55">
        <w:rPr>
          <w:rFonts w:asciiTheme="majorBidi" w:hAnsiTheme="majorBidi" w:cstheme="majorBidi"/>
          <w:sz w:val="28"/>
          <w:szCs w:val="28"/>
        </w:rPr>
        <w:t>!</w:t>
      </w:r>
    </w:p>
    <w:sectPr w:rsidR="00166112" w:rsidRPr="004C2E5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DECB" w14:textId="77777777" w:rsidR="000D078D" w:rsidRDefault="000D078D" w:rsidP="003B346E">
      <w:pPr>
        <w:spacing w:after="0" w:line="240" w:lineRule="auto"/>
      </w:pPr>
      <w:r>
        <w:separator/>
      </w:r>
    </w:p>
  </w:endnote>
  <w:endnote w:type="continuationSeparator" w:id="0">
    <w:p w14:paraId="62F2762C" w14:textId="77777777" w:rsidR="000D078D" w:rsidRDefault="000D078D" w:rsidP="003B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408135"/>
      <w:docPartObj>
        <w:docPartGallery w:val="Page Numbers (Bottom of Page)"/>
        <w:docPartUnique/>
      </w:docPartObj>
    </w:sdtPr>
    <w:sdtEndPr/>
    <w:sdtContent>
      <w:p w14:paraId="6F8AF43B" w14:textId="65029C22" w:rsidR="00BE7467" w:rsidRDefault="00BE7467">
        <w:pPr>
          <w:pStyle w:val="Pieddepage"/>
          <w:jc w:val="right"/>
        </w:pPr>
        <w:r>
          <w:fldChar w:fldCharType="begin"/>
        </w:r>
        <w:r>
          <w:instrText>PAGE   \* MERGEFORMAT</w:instrText>
        </w:r>
        <w:r>
          <w:fldChar w:fldCharType="separate"/>
        </w:r>
        <w:r w:rsidR="003248D7">
          <w:rPr>
            <w:noProof/>
          </w:rPr>
          <w:t>1</w:t>
        </w:r>
        <w:r>
          <w:fldChar w:fldCharType="end"/>
        </w:r>
      </w:p>
    </w:sdtContent>
  </w:sdt>
  <w:p w14:paraId="29119BEC" w14:textId="77777777" w:rsidR="00BE7467" w:rsidRDefault="00BE74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8FFE" w14:textId="77777777" w:rsidR="000D078D" w:rsidRDefault="000D078D" w:rsidP="003B346E">
      <w:pPr>
        <w:spacing w:after="0" w:line="240" w:lineRule="auto"/>
      </w:pPr>
      <w:r>
        <w:separator/>
      </w:r>
    </w:p>
  </w:footnote>
  <w:footnote w:type="continuationSeparator" w:id="0">
    <w:p w14:paraId="365782C9" w14:textId="77777777" w:rsidR="000D078D" w:rsidRDefault="000D078D" w:rsidP="003B346E">
      <w:pPr>
        <w:spacing w:after="0" w:line="240" w:lineRule="auto"/>
      </w:pPr>
      <w:r>
        <w:continuationSeparator/>
      </w:r>
    </w:p>
  </w:footnote>
  <w:footnote w:id="1">
    <w:p w14:paraId="67B449CE" w14:textId="6599E91B" w:rsidR="00482FD4" w:rsidRPr="00C1276E" w:rsidRDefault="00482FD4" w:rsidP="00482FD4">
      <w:pPr>
        <w:pStyle w:val="Notedebasdepage"/>
        <w:bidi/>
        <w:rPr>
          <w:rtl/>
          <w:lang w:bidi="ar-TN"/>
        </w:rPr>
      </w:pPr>
      <w:r>
        <w:rPr>
          <w:rStyle w:val="Appelnotedebasdep"/>
        </w:rPr>
        <w:footnoteRef/>
      </w:r>
      <w:r>
        <w:rPr>
          <w:rFonts w:cs="Arial" w:hint="cs"/>
          <w:rtl/>
        </w:rPr>
        <w:t xml:space="preserve">أستاذ القانون العام بجامعة قرطاج مدير قسم القانون العام والعلوم السياسية بكلية العلوم القانونية والسياسية والاجتماعية بتونس الرئيس الشرفي للجمعية التونسية للدفاع عن الحريات الفردية </w:t>
      </w:r>
      <w:hyperlink r:id="rId1" w:history="1">
        <w:r w:rsidRPr="005D2274">
          <w:rPr>
            <w:rStyle w:val="Lienhypertexte"/>
            <w:rFonts w:cs="Arial"/>
          </w:rPr>
          <w:t>www.adlitn.org</w:t>
        </w:r>
      </w:hyperlink>
      <w:r>
        <w:rPr>
          <w:rFonts w:cs="Arial"/>
        </w:rPr>
        <w:t xml:space="preserve"> </w:t>
      </w:r>
      <w:r>
        <w:rPr>
          <w:rFonts w:cs="Arial" w:hint="cs"/>
          <w:rtl/>
        </w:rPr>
        <w:t>.</w:t>
      </w:r>
    </w:p>
  </w:footnote>
  <w:footnote w:id="2">
    <w:p w14:paraId="79C1438C" w14:textId="7C08934E" w:rsidR="004742A2" w:rsidRPr="00FE00E5" w:rsidRDefault="004742A2" w:rsidP="004742A2">
      <w:pPr>
        <w:pStyle w:val="Notedebasdepage"/>
        <w:bidi/>
      </w:pPr>
      <w:r w:rsidRPr="00FE00E5">
        <w:rPr>
          <w:rStyle w:val="Appelnotedebasdep"/>
        </w:rPr>
        <w:footnoteRef/>
      </w:r>
      <w:r>
        <w:t xml:space="preserve"> </w:t>
      </w:r>
      <w:r w:rsidRPr="00FE00E5">
        <w:t xml:space="preserve"> </w:t>
      </w:r>
      <w:r>
        <w:rPr>
          <w:rFonts w:hint="cs"/>
          <w:rtl/>
        </w:rPr>
        <w:t xml:space="preserve">مجلس حقوق الإنسان، فريق العمل الخاص بالاستعراض الدوري الشامل، الدورة 41، 7-18 نوفمبر 2022، </w:t>
      </w:r>
      <w:bookmarkStart w:id="0" w:name="_Hlk117923909"/>
      <w:r>
        <w:rPr>
          <w:rFonts w:hint="cs"/>
          <w:rtl/>
        </w:rPr>
        <w:t>تقرير وطني مقدم عملا بقراري مجلس حقوق الإنسان 1/5 و16/21. تونس.</w:t>
      </w:r>
    </w:p>
    <w:p w14:paraId="3D30A95D" w14:textId="5AD163D8" w:rsidR="004742A2" w:rsidRDefault="004742A2" w:rsidP="004742A2">
      <w:pPr>
        <w:pStyle w:val="Notedebasdepage"/>
      </w:pPr>
      <w:r>
        <w:rPr>
          <w:rFonts w:hint="cs"/>
          <w:rtl/>
        </w:rPr>
        <w:t xml:space="preserve"> </w:t>
      </w:r>
      <w:r w:rsidRPr="00FE00E5">
        <w:t xml:space="preserve">Nations Unies A/HRC/WG.6/41/TUN/1, </w:t>
      </w:r>
      <w:r>
        <w:rPr>
          <w:rFonts w:hint="cs"/>
          <w:rtl/>
        </w:rPr>
        <w:t>الرابط الإلكتروني</w:t>
      </w:r>
      <w:r w:rsidRPr="00FE00E5">
        <w:t xml:space="preserve"> : </w:t>
      </w:r>
      <w:hyperlink r:id="rId2" w:history="1">
        <w:r w:rsidRPr="00FE00E5">
          <w:rPr>
            <w:rStyle w:val="Lienhypertexte"/>
          </w:rPr>
          <w:t>https://www.ohchr.org/en/hr-bodies/upr/tn-index</w:t>
        </w:r>
      </w:hyperlink>
      <w:bookmarkEnd w:id="0"/>
      <w:r>
        <w:t xml:space="preserve"> </w:t>
      </w:r>
    </w:p>
  </w:footnote>
  <w:footnote w:id="3">
    <w:p w14:paraId="6054A3F7" w14:textId="3FCC9B01" w:rsidR="00BE7467" w:rsidRPr="00C1276E" w:rsidRDefault="00BE7467" w:rsidP="00C1276E">
      <w:pPr>
        <w:pStyle w:val="Notedebasdepage"/>
        <w:bidi/>
        <w:rPr>
          <w:rtl/>
          <w:lang w:bidi="ar-TN"/>
        </w:rPr>
      </w:pPr>
      <w:bookmarkStart w:id="1" w:name="_Hlk117923449"/>
      <w:r>
        <w:rPr>
          <w:rStyle w:val="Appelnotedebasdep"/>
        </w:rPr>
        <w:footnoteRef/>
      </w:r>
      <w:r>
        <w:t xml:space="preserve"> </w:t>
      </w:r>
      <w:r w:rsidRPr="00C1276E">
        <w:rPr>
          <w:rFonts w:cs="Arial"/>
          <w:rtl/>
        </w:rPr>
        <w:t>أمر حكومي عدد 1593 لسنة 2015 مؤرخ في 30 أكتوبر 2015 يتعلق بإحداث لجنة وطنية للتنسيق وإعداد وتقديم التقارير ومتابعة التوصيات في مجال حقوق الإنسان</w:t>
      </w:r>
      <w:r>
        <w:rPr>
          <w:rFonts w:cs="Arial" w:hint="cs"/>
          <w:rtl/>
        </w:rPr>
        <w:t>.</w:t>
      </w:r>
      <w:bookmarkEnd w:id="1"/>
    </w:p>
  </w:footnote>
  <w:footnote w:id="4">
    <w:p w14:paraId="4474988B" w14:textId="6E47A781" w:rsidR="006669DF" w:rsidRPr="00FE00E5" w:rsidRDefault="006669DF" w:rsidP="006669DF">
      <w:pPr>
        <w:pStyle w:val="Notedebasdepage"/>
        <w:bidi/>
      </w:pPr>
      <w:r>
        <w:rPr>
          <w:rStyle w:val="Appelnotedebasdep"/>
        </w:rPr>
        <w:footnoteRef/>
      </w:r>
      <w:r>
        <w:rPr>
          <w:rFonts w:hint="cs"/>
          <w:rtl/>
          <w:lang w:bidi="ar-TN"/>
        </w:rPr>
        <w:t xml:space="preserve"> الفقرة 7 من تقرير تونس </w:t>
      </w:r>
      <w:r>
        <w:rPr>
          <w:rFonts w:hint="cs"/>
          <w:rtl/>
        </w:rPr>
        <w:t>تقرير وطني مقدم عملا بقراري مجلس حقوق الإنسان 1/5 و16/21. تونس.</w:t>
      </w:r>
    </w:p>
    <w:p w14:paraId="565EA42D" w14:textId="480CD2C7" w:rsidR="006669DF" w:rsidRPr="00C1276E" w:rsidRDefault="006669DF" w:rsidP="006669DF">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3" w:history="1">
        <w:r w:rsidRPr="00FE00E5">
          <w:rPr>
            <w:rStyle w:val="Lienhypertexte"/>
          </w:rPr>
          <w:t>https://www.ohchr.org/en/hr-bodies/upr/tn-index</w:t>
        </w:r>
      </w:hyperlink>
    </w:p>
  </w:footnote>
  <w:footnote w:id="5">
    <w:p w14:paraId="538F371D" w14:textId="5CD978CC" w:rsidR="00482FD4" w:rsidRPr="00482FD4" w:rsidRDefault="00482FD4">
      <w:pPr>
        <w:pStyle w:val="Notedebasdepage"/>
        <w:rPr>
          <w:rtl/>
          <w:lang w:bidi="ar-TN"/>
        </w:rPr>
      </w:pPr>
      <w:r>
        <w:rPr>
          <w:rStyle w:val="Appelnotedebasdep"/>
        </w:rPr>
        <w:footnoteRef/>
      </w:r>
      <w:r>
        <w:t xml:space="preserve"> </w:t>
      </w:r>
    </w:p>
  </w:footnote>
  <w:footnote w:id="6">
    <w:p w14:paraId="30855412" w14:textId="77777777" w:rsidR="00BE7467" w:rsidRPr="00765A4A" w:rsidRDefault="00BE7467" w:rsidP="00F27905">
      <w:pPr>
        <w:pStyle w:val="Notedebasdepage"/>
        <w:bidi/>
        <w:rPr>
          <w:rFonts w:cs="Arial"/>
          <w:rtl/>
        </w:rPr>
      </w:pPr>
      <w:r>
        <w:rPr>
          <w:rStyle w:val="Appelnotedebasdep"/>
        </w:rPr>
        <w:footnoteRef/>
      </w:r>
      <w:r>
        <w:t xml:space="preserve"> </w:t>
      </w:r>
      <w:r w:rsidRPr="00765A4A">
        <w:rPr>
          <w:rFonts w:cs="Arial"/>
          <w:rtl/>
        </w:rPr>
        <w:t>مرسوم عدد 54 لسنة 2022 مؤرخ في 13 سبتمبر 2022 يتعلق بمكافحة الجرائم المتصلة بأنظمة المعلومات والاتصال</w:t>
      </w:r>
      <w:r>
        <w:rPr>
          <w:rFonts w:cs="Arial" w:hint="cs"/>
          <w:rtl/>
        </w:rPr>
        <w:t>. الرائد الرسمي عدد 103 بتاريخ 16 سبتمبر 2022، ص. 2949.</w:t>
      </w:r>
    </w:p>
  </w:footnote>
  <w:footnote w:id="7">
    <w:p w14:paraId="7EAB6D18" w14:textId="48DB95C6" w:rsidR="006669DF" w:rsidRPr="00FE00E5" w:rsidRDefault="006669DF" w:rsidP="006669DF">
      <w:pPr>
        <w:pStyle w:val="Notedebasdepage"/>
        <w:bidi/>
      </w:pPr>
      <w:r>
        <w:rPr>
          <w:rStyle w:val="Appelnotedebasdep"/>
        </w:rPr>
        <w:footnoteRef/>
      </w:r>
      <w:r>
        <w:rPr>
          <w:rFonts w:hint="cs"/>
          <w:rtl/>
          <w:lang w:bidi="ar-TN"/>
        </w:rPr>
        <w:t xml:space="preserve"> الفقرة 12من تقرير تونس </w:t>
      </w:r>
      <w:r>
        <w:rPr>
          <w:rFonts w:hint="cs"/>
          <w:rtl/>
        </w:rPr>
        <w:t>تقرير وطني مقدم عملا بقراري مجلس حقوق الإنسان 1/5 و16/21. تونس.</w:t>
      </w:r>
    </w:p>
    <w:p w14:paraId="11852E7A" w14:textId="77777777" w:rsidR="006669DF" w:rsidRPr="00C1276E" w:rsidRDefault="006669DF" w:rsidP="006669DF">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4" w:history="1">
        <w:r w:rsidRPr="00FE00E5">
          <w:rPr>
            <w:rStyle w:val="Lienhypertexte"/>
          </w:rPr>
          <w:t>https://www.ohchr.org/en/hr-bodies/upr/tn-index</w:t>
        </w:r>
      </w:hyperlink>
    </w:p>
  </w:footnote>
  <w:footnote w:id="8">
    <w:p w14:paraId="27D517A9" w14:textId="4DF80377" w:rsidR="006669DF" w:rsidRPr="00FE00E5" w:rsidRDefault="006669DF" w:rsidP="006669DF">
      <w:pPr>
        <w:pStyle w:val="Notedebasdepage"/>
        <w:bidi/>
      </w:pPr>
      <w:r>
        <w:rPr>
          <w:rStyle w:val="Appelnotedebasdep"/>
        </w:rPr>
        <w:footnoteRef/>
      </w:r>
      <w:r>
        <w:rPr>
          <w:rFonts w:hint="cs"/>
          <w:rtl/>
          <w:lang w:bidi="ar-TN"/>
        </w:rPr>
        <w:t xml:space="preserve"> الفقرات 16 الى29 من تقرير تونس </w:t>
      </w:r>
      <w:r>
        <w:rPr>
          <w:rFonts w:hint="cs"/>
          <w:rtl/>
        </w:rPr>
        <w:t>تقرير وطني مقدم عملا بقراري مجلس حقوق الإنسان 1/5 و16/21. تونس.</w:t>
      </w:r>
    </w:p>
    <w:p w14:paraId="34F98370" w14:textId="77777777" w:rsidR="006669DF" w:rsidRPr="00C1276E" w:rsidRDefault="006669DF" w:rsidP="006669DF">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5" w:history="1">
        <w:r w:rsidRPr="00FE00E5">
          <w:rPr>
            <w:rStyle w:val="Lienhypertexte"/>
          </w:rPr>
          <w:t>https://www.ohchr.org/en/hr-bodies/upr/tn-index</w:t>
        </w:r>
      </w:hyperlink>
    </w:p>
  </w:footnote>
  <w:footnote w:id="9">
    <w:p w14:paraId="76DFA273" w14:textId="75C3EB0D" w:rsidR="00101DC0" w:rsidRPr="00FE00E5" w:rsidRDefault="00101DC0" w:rsidP="00101DC0">
      <w:pPr>
        <w:pStyle w:val="Notedebasdepage"/>
        <w:bidi/>
      </w:pPr>
      <w:r>
        <w:rPr>
          <w:rStyle w:val="Appelnotedebasdep"/>
        </w:rPr>
        <w:footnoteRef/>
      </w:r>
      <w:r>
        <w:rPr>
          <w:rFonts w:hint="cs"/>
          <w:rtl/>
          <w:lang w:bidi="ar-TN"/>
        </w:rPr>
        <w:t xml:space="preserve"> الفقرة 43 من تقرير تونس </w:t>
      </w:r>
      <w:r>
        <w:rPr>
          <w:rFonts w:hint="cs"/>
          <w:rtl/>
        </w:rPr>
        <w:t>تقرير وطني مقدم عملا بقراري مجلس حقوق الإنسان 1/5 و16/21. تونس.</w:t>
      </w:r>
    </w:p>
    <w:p w14:paraId="7C681ED1" w14:textId="77777777" w:rsidR="00101DC0" w:rsidRPr="00C1276E" w:rsidRDefault="00101DC0" w:rsidP="00101DC0">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6" w:history="1">
        <w:r w:rsidRPr="00FE00E5">
          <w:rPr>
            <w:rStyle w:val="Lienhypertexte"/>
          </w:rPr>
          <w:t>https://www.ohchr.org/en/hr-bodies/upr/tn-index</w:t>
        </w:r>
      </w:hyperlink>
    </w:p>
  </w:footnote>
  <w:footnote w:id="10">
    <w:p w14:paraId="28902DC0" w14:textId="00D9971D" w:rsidR="00101DC0" w:rsidRPr="00FE00E5" w:rsidRDefault="00101DC0" w:rsidP="00101DC0">
      <w:pPr>
        <w:pStyle w:val="Notedebasdepage"/>
        <w:bidi/>
      </w:pPr>
      <w:r>
        <w:rPr>
          <w:rStyle w:val="Appelnotedebasdep"/>
        </w:rPr>
        <w:footnoteRef/>
      </w:r>
      <w:r>
        <w:rPr>
          <w:rFonts w:hint="cs"/>
          <w:rtl/>
          <w:lang w:bidi="ar-TN"/>
        </w:rPr>
        <w:t xml:space="preserve"> الفقرة 82 من تقرير تونس </w:t>
      </w:r>
      <w:r>
        <w:rPr>
          <w:rFonts w:hint="cs"/>
          <w:rtl/>
        </w:rPr>
        <w:t>تقرير وطني مقدم عملا بقراري مجلس حقوق الإنسان 1/5 و16/21. تونس.</w:t>
      </w:r>
    </w:p>
    <w:p w14:paraId="3E37E8C8" w14:textId="77777777" w:rsidR="00101DC0" w:rsidRPr="00C1276E" w:rsidRDefault="00101DC0" w:rsidP="00101DC0">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7" w:history="1">
        <w:r w:rsidRPr="00FE00E5">
          <w:rPr>
            <w:rStyle w:val="Lienhypertexte"/>
          </w:rPr>
          <w:t>https://www.ohchr.org/en/hr-bodies/upr/tn-index</w:t>
        </w:r>
      </w:hyperlink>
    </w:p>
  </w:footnote>
  <w:footnote w:id="11">
    <w:p w14:paraId="4687EA52" w14:textId="49F60E0E" w:rsidR="00D71BF0" w:rsidRPr="00FE00E5" w:rsidRDefault="00D71BF0" w:rsidP="00D71BF0">
      <w:pPr>
        <w:pStyle w:val="Notedebasdepage"/>
        <w:bidi/>
      </w:pPr>
      <w:r>
        <w:rPr>
          <w:rStyle w:val="Appelnotedebasdep"/>
        </w:rPr>
        <w:footnoteRef/>
      </w:r>
      <w:r>
        <w:rPr>
          <w:rFonts w:hint="cs"/>
          <w:rtl/>
          <w:lang w:bidi="ar-TN"/>
        </w:rPr>
        <w:t xml:space="preserve"> الفقرة 125من تقرير تونس </w:t>
      </w:r>
      <w:r>
        <w:rPr>
          <w:rFonts w:hint="cs"/>
          <w:rtl/>
        </w:rPr>
        <w:t>تقرير وطني مقدم عملا بقراري مجلس حقوق الإنسان 1/5 و16/21. تونس.</w:t>
      </w:r>
    </w:p>
    <w:p w14:paraId="67351644" w14:textId="77777777" w:rsidR="00D71BF0" w:rsidRPr="00C1276E" w:rsidRDefault="00D71BF0" w:rsidP="00D71BF0">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8" w:history="1">
        <w:r w:rsidRPr="00FE00E5">
          <w:rPr>
            <w:rStyle w:val="Lienhypertexte"/>
          </w:rPr>
          <w:t>https://www.ohchr.org/en/hr-bodies/upr/tn-index</w:t>
        </w:r>
      </w:hyperlink>
    </w:p>
  </w:footnote>
  <w:footnote w:id="12">
    <w:p w14:paraId="515C90A6" w14:textId="760FB8B2" w:rsidR="00D71BF0" w:rsidRPr="00FE00E5" w:rsidRDefault="00D71BF0" w:rsidP="00D71BF0">
      <w:pPr>
        <w:pStyle w:val="Notedebasdepage"/>
        <w:bidi/>
      </w:pPr>
      <w:r>
        <w:rPr>
          <w:rStyle w:val="Appelnotedebasdep"/>
        </w:rPr>
        <w:footnoteRef/>
      </w:r>
      <w:r>
        <w:rPr>
          <w:rFonts w:hint="cs"/>
          <w:rtl/>
          <w:lang w:bidi="ar-TN"/>
        </w:rPr>
        <w:t xml:space="preserve"> </w:t>
      </w:r>
      <w:proofErr w:type="gramStart"/>
      <w:r>
        <w:rPr>
          <w:rFonts w:hint="cs"/>
          <w:rtl/>
          <w:lang w:bidi="ar-TN"/>
        </w:rPr>
        <w:t>الفقرة  97</w:t>
      </w:r>
      <w:proofErr w:type="gramEnd"/>
      <w:r>
        <w:rPr>
          <w:rFonts w:hint="cs"/>
          <w:rtl/>
          <w:lang w:bidi="ar-TN"/>
        </w:rPr>
        <w:t xml:space="preserve"> من تقرير تونس </w:t>
      </w:r>
      <w:r>
        <w:rPr>
          <w:rFonts w:hint="cs"/>
          <w:rtl/>
        </w:rPr>
        <w:t>تقرير وطني مقدم عملا بقراري مجلس حقوق الإنسان 1/5 و16/21. تونس.</w:t>
      </w:r>
    </w:p>
    <w:p w14:paraId="6726189A" w14:textId="77777777" w:rsidR="00D71BF0" w:rsidRPr="00C1276E" w:rsidRDefault="00D71BF0" w:rsidP="00D71BF0">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9" w:history="1">
        <w:r w:rsidRPr="00FE00E5">
          <w:rPr>
            <w:rStyle w:val="Lienhypertexte"/>
          </w:rPr>
          <w:t>https://www.ohchr.org/en/hr-bodies/upr/tn-index</w:t>
        </w:r>
      </w:hyperlink>
    </w:p>
  </w:footnote>
  <w:footnote w:id="13">
    <w:p w14:paraId="6D81CC68" w14:textId="2BF3DB63" w:rsidR="00D71BF0" w:rsidRPr="00FE00E5" w:rsidRDefault="00D71BF0" w:rsidP="00D71BF0">
      <w:pPr>
        <w:pStyle w:val="Notedebasdepage"/>
        <w:bidi/>
      </w:pPr>
      <w:r>
        <w:rPr>
          <w:rStyle w:val="Appelnotedebasdep"/>
        </w:rPr>
        <w:footnoteRef/>
      </w:r>
      <w:r>
        <w:rPr>
          <w:rFonts w:hint="cs"/>
          <w:rtl/>
          <w:lang w:bidi="ar-TN"/>
        </w:rPr>
        <w:t xml:space="preserve"> الفقرة 59 من تقرير تونس </w:t>
      </w:r>
      <w:r>
        <w:rPr>
          <w:rFonts w:hint="cs"/>
          <w:rtl/>
        </w:rPr>
        <w:t>تقرير وطني مقدم عملا بقراري مجلس حقوق الإنسان 1/5 و16/21. تونس.</w:t>
      </w:r>
    </w:p>
    <w:p w14:paraId="278B9E0E" w14:textId="77777777" w:rsidR="00D71BF0" w:rsidRPr="00C1276E" w:rsidRDefault="00D71BF0" w:rsidP="00D71BF0">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10" w:history="1">
        <w:r w:rsidRPr="00FE00E5">
          <w:rPr>
            <w:rStyle w:val="Lienhypertexte"/>
          </w:rPr>
          <w:t>https://www.ohchr.org/en/hr-bodies/upr/tn-index</w:t>
        </w:r>
      </w:hyperlink>
    </w:p>
  </w:footnote>
  <w:footnote w:id="14">
    <w:p w14:paraId="733BD548" w14:textId="7A76FF3B" w:rsidR="00BD4EC7" w:rsidRPr="00FE00E5" w:rsidRDefault="00BD4EC7" w:rsidP="00BD4EC7">
      <w:pPr>
        <w:pStyle w:val="Notedebasdepage"/>
        <w:bidi/>
      </w:pPr>
      <w:r>
        <w:rPr>
          <w:rStyle w:val="Appelnotedebasdep"/>
        </w:rPr>
        <w:footnoteRef/>
      </w:r>
      <w:r>
        <w:rPr>
          <w:rFonts w:hint="cs"/>
          <w:rtl/>
          <w:lang w:bidi="ar-TN"/>
        </w:rPr>
        <w:t xml:space="preserve"> الفقرة 105 من تقرير تونس </w:t>
      </w:r>
      <w:r>
        <w:rPr>
          <w:rFonts w:hint="cs"/>
          <w:rtl/>
        </w:rPr>
        <w:t>تقرير وطني مقدم عملا بقراري مجلس حقوق الإنسان 1/5 و16/21. تونس.</w:t>
      </w:r>
    </w:p>
    <w:p w14:paraId="59722031" w14:textId="77777777" w:rsidR="00BD4EC7" w:rsidRPr="00C1276E" w:rsidRDefault="00BD4EC7" w:rsidP="00BD4EC7">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11" w:history="1">
        <w:r w:rsidRPr="00FE00E5">
          <w:rPr>
            <w:rStyle w:val="Lienhypertexte"/>
          </w:rPr>
          <w:t>https://www.ohchr.org/en/hr-bodies/upr/tn-index</w:t>
        </w:r>
      </w:hyperlink>
    </w:p>
  </w:footnote>
  <w:footnote w:id="15">
    <w:p w14:paraId="4C57FE2D" w14:textId="0345A6DF" w:rsidR="00BD4EC7" w:rsidRPr="00FE00E5" w:rsidRDefault="00BD4EC7" w:rsidP="00BD4EC7">
      <w:pPr>
        <w:pStyle w:val="Notedebasdepage"/>
        <w:bidi/>
      </w:pPr>
      <w:r>
        <w:rPr>
          <w:rStyle w:val="Appelnotedebasdep"/>
        </w:rPr>
        <w:footnoteRef/>
      </w:r>
      <w:r>
        <w:rPr>
          <w:rFonts w:hint="cs"/>
          <w:rtl/>
          <w:lang w:bidi="ar-TN"/>
        </w:rPr>
        <w:t xml:space="preserve"> الفقرة 85 من تقرير تونس </w:t>
      </w:r>
      <w:r>
        <w:rPr>
          <w:rFonts w:hint="cs"/>
          <w:rtl/>
        </w:rPr>
        <w:t>تقرير وطني مقدم عملا بقراري مجلس حقوق الإنسان 1/5 و16/21. تونس.</w:t>
      </w:r>
    </w:p>
    <w:p w14:paraId="66BED917" w14:textId="77777777" w:rsidR="00BD4EC7" w:rsidRPr="00C1276E" w:rsidRDefault="00BD4EC7" w:rsidP="00BD4EC7">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12" w:history="1">
        <w:r w:rsidRPr="00FE00E5">
          <w:rPr>
            <w:rStyle w:val="Lienhypertexte"/>
          </w:rPr>
          <w:t>https://www.ohchr.org/en/hr-bodies/upr/tn-index</w:t>
        </w:r>
      </w:hyperlink>
    </w:p>
  </w:footnote>
  <w:footnote w:id="16">
    <w:p w14:paraId="2C5514C8" w14:textId="75EA10ED" w:rsidR="00BD4EC7" w:rsidRPr="00FE00E5" w:rsidRDefault="00BD4EC7" w:rsidP="00BD4EC7">
      <w:pPr>
        <w:pStyle w:val="Notedebasdepage"/>
        <w:bidi/>
      </w:pPr>
      <w:r>
        <w:rPr>
          <w:rStyle w:val="Appelnotedebasdep"/>
        </w:rPr>
        <w:footnoteRef/>
      </w:r>
      <w:r>
        <w:rPr>
          <w:rFonts w:hint="cs"/>
          <w:rtl/>
          <w:lang w:bidi="ar-TN"/>
        </w:rPr>
        <w:t xml:space="preserve"> الفقرتين 172 و</w:t>
      </w:r>
      <w:r w:rsidR="00C27C9C">
        <w:rPr>
          <w:rFonts w:hint="cs"/>
          <w:rtl/>
          <w:lang w:bidi="ar-TN"/>
        </w:rPr>
        <w:t>173 م</w:t>
      </w:r>
      <w:r>
        <w:rPr>
          <w:rFonts w:hint="cs"/>
          <w:rtl/>
          <w:lang w:bidi="ar-TN"/>
        </w:rPr>
        <w:t xml:space="preserve">ن تقرير تونس </w:t>
      </w:r>
      <w:r>
        <w:rPr>
          <w:rFonts w:hint="cs"/>
          <w:rtl/>
        </w:rPr>
        <w:t>تقرير وطني مقدم عملا بقراري مجلس حقوق الإنسان 1/5 و16/21. تونس.</w:t>
      </w:r>
    </w:p>
    <w:p w14:paraId="570B0BDB" w14:textId="77777777" w:rsidR="00BD4EC7" w:rsidRPr="00C1276E" w:rsidRDefault="00BD4EC7" w:rsidP="00BD4EC7">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13" w:history="1">
        <w:r w:rsidRPr="00FE00E5">
          <w:rPr>
            <w:rStyle w:val="Lienhypertexte"/>
          </w:rPr>
          <w:t>https://www.ohchr.org/en/hr-bodies/upr/tn-index</w:t>
        </w:r>
      </w:hyperlink>
    </w:p>
  </w:footnote>
  <w:footnote w:id="17">
    <w:p w14:paraId="334185A7" w14:textId="654135B2" w:rsidR="00C27C9C" w:rsidRPr="00FE00E5" w:rsidRDefault="00C27C9C" w:rsidP="00C27C9C">
      <w:pPr>
        <w:pStyle w:val="Notedebasdepage"/>
        <w:bidi/>
      </w:pPr>
      <w:r>
        <w:rPr>
          <w:rStyle w:val="Appelnotedebasdep"/>
        </w:rPr>
        <w:footnoteRef/>
      </w:r>
      <w:r>
        <w:rPr>
          <w:rFonts w:hint="cs"/>
          <w:rtl/>
          <w:lang w:bidi="ar-TN"/>
        </w:rPr>
        <w:t xml:space="preserve"> الفقرات 246 الى 248 من تقرير تونس </w:t>
      </w:r>
      <w:r>
        <w:rPr>
          <w:rFonts w:hint="cs"/>
          <w:rtl/>
        </w:rPr>
        <w:t>تقرير وطني مقدم عملا بقراري مجلس حقوق الإنسان 1/5 و16/21. تونس.</w:t>
      </w:r>
    </w:p>
    <w:p w14:paraId="73B12238" w14:textId="77777777" w:rsidR="00C27C9C" w:rsidRPr="00C1276E" w:rsidRDefault="00C27C9C" w:rsidP="00C27C9C">
      <w:pPr>
        <w:pStyle w:val="Notedebasdepage"/>
        <w:bidi/>
        <w:rPr>
          <w:rtl/>
          <w:lang w:bidi="ar-TN"/>
        </w:rPr>
      </w:pPr>
      <w:r>
        <w:rPr>
          <w:rFonts w:hint="cs"/>
          <w:rtl/>
        </w:rPr>
        <w:t xml:space="preserve"> </w:t>
      </w:r>
      <w:r w:rsidRPr="00FE00E5">
        <w:t xml:space="preserve">Nations Unies A/HRC/WG.6/41/TUN/1, </w:t>
      </w:r>
      <w:r>
        <w:rPr>
          <w:rFonts w:hint="cs"/>
          <w:rtl/>
        </w:rPr>
        <w:t>الرابط الإلكتروني</w:t>
      </w:r>
      <w:r w:rsidRPr="00FE00E5">
        <w:t xml:space="preserve"> : </w:t>
      </w:r>
      <w:hyperlink r:id="rId14" w:history="1">
        <w:r w:rsidRPr="00FE00E5">
          <w:rPr>
            <w:rStyle w:val="Lienhypertexte"/>
          </w:rPr>
          <w:t>https://www.ohchr.org/en/hr-bodies/upr/tn-index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A795A"/>
    <w:multiLevelType w:val="multilevel"/>
    <w:tmpl w:val="EF5094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CF260B7"/>
    <w:multiLevelType w:val="hybridMultilevel"/>
    <w:tmpl w:val="B8866226"/>
    <w:lvl w:ilvl="0" w:tplc="C95C81B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BE"/>
    <w:rsid w:val="0000749E"/>
    <w:rsid w:val="000464AD"/>
    <w:rsid w:val="000550A0"/>
    <w:rsid w:val="00055DFC"/>
    <w:rsid w:val="00082ECE"/>
    <w:rsid w:val="00096A2D"/>
    <w:rsid w:val="00096A82"/>
    <w:rsid w:val="000A4493"/>
    <w:rsid w:val="000B0056"/>
    <w:rsid w:val="000D078D"/>
    <w:rsid w:val="000E0823"/>
    <w:rsid w:val="000F0045"/>
    <w:rsid w:val="000F0830"/>
    <w:rsid w:val="00101DC0"/>
    <w:rsid w:val="0012032F"/>
    <w:rsid w:val="00120FDC"/>
    <w:rsid w:val="00152133"/>
    <w:rsid w:val="00166112"/>
    <w:rsid w:val="00192025"/>
    <w:rsid w:val="00193EDD"/>
    <w:rsid w:val="001D322A"/>
    <w:rsid w:val="001D3E1D"/>
    <w:rsid w:val="001D66E1"/>
    <w:rsid w:val="001E1EBE"/>
    <w:rsid w:val="001E7511"/>
    <w:rsid w:val="00203C6B"/>
    <w:rsid w:val="002110A1"/>
    <w:rsid w:val="002146E2"/>
    <w:rsid w:val="002326FC"/>
    <w:rsid w:val="0024437E"/>
    <w:rsid w:val="0024734B"/>
    <w:rsid w:val="00247F2D"/>
    <w:rsid w:val="0025330E"/>
    <w:rsid w:val="002579E8"/>
    <w:rsid w:val="00264513"/>
    <w:rsid w:val="00271807"/>
    <w:rsid w:val="00273AAD"/>
    <w:rsid w:val="00276A09"/>
    <w:rsid w:val="00281135"/>
    <w:rsid w:val="00284197"/>
    <w:rsid w:val="002965CE"/>
    <w:rsid w:val="002A257B"/>
    <w:rsid w:val="002A75BD"/>
    <w:rsid w:val="002D507C"/>
    <w:rsid w:val="002D7886"/>
    <w:rsid w:val="002E2ECF"/>
    <w:rsid w:val="002F4281"/>
    <w:rsid w:val="003248D7"/>
    <w:rsid w:val="00337E97"/>
    <w:rsid w:val="0035139B"/>
    <w:rsid w:val="00353CB4"/>
    <w:rsid w:val="00380812"/>
    <w:rsid w:val="00381770"/>
    <w:rsid w:val="00397241"/>
    <w:rsid w:val="003A6DA3"/>
    <w:rsid w:val="003A7F5B"/>
    <w:rsid w:val="003B346E"/>
    <w:rsid w:val="003C6728"/>
    <w:rsid w:val="003D3C69"/>
    <w:rsid w:val="003E3C7A"/>
    <w:rsid w:val="003F49DC"/>
    <w:rsid w:val="003F4FB2"/>
    <w:rsid w:val="00414395"/>
    <w:rsid w:val="00426F5F"/>
    <w:rsid w:val="00472A6F"/>
    <w:rsid w:val="004742A2"/>
    <w:rsid w:val="0047668B"/>
    <w:rsid w:val="00482FD4"/>
    <w:rsid w:val="004866EB"/>
    <w:rsid w:val="00494F6C"/>
    <w:rsid w:val="004C2E55"/>
    <w:rsid w:val="004D3973"/>
    <w:rsid w:val="004E1DFA"/>
    <w:rsid w:val="005131ED"/>
    <w:rsid w:val="00522784"/>
    <w:rsid w:val="0053253E"/>
    <w:rsid w:val="00555418"/>
    <w:rsid w:val="00581DDC"/>
    <w:rsid w:val="00592D9C"/>
    <w:rsid w:val="005A2923"/>
    <w:rsid w:val="00656E6E"/>
    <w:rsid w:val="00660B21"/>
    <w:rsid w:val="006669DF"/>
    <w:rsid w:val="0067223A"/>
    <w:rsid w:val="006758D3"/>
    <w:rsid w:val="0068021D"/>
    <w:rsid w:val="006970A3"/>
    <w:rsid w:val="006A39B2"/>
    <w:rsid w:val="006B234E"/>
    <w:rsid w:val="006B3213"/>
    <w:rsid w:val="006D00E4"/>
    <w:rsid w:val="00703D80"/>
    <w:rsid w:val="00704EB2"/>
    <w:rsid w:val="00721953"/>
    <w:rsid w:val="00747338"/>
    <w:rsid w:val="00747A56"/>
    <w:rsid w:val="00753A28"/>
    <w:rsid w:val="00765A4A"/>
    <w:rsid w:val="007C3247"/>
    <w:rsid w:val="007D11C0"/>
    <w:rsid w:val="007D7BD2"/>
    <w:rsid w:val="007E358E"/>
    <w:rsid w:val="00806B5D"/>
    <w:rsid w:val="00841271"/>
    <w:rsid w:val="00841F14"/>
    <w:rsid w:val="00845B56"/>
    <w:rsid w:val="00864795"/>
    <w:rsid w:val="00874DCD"/>
    <w:rsid w:val="0088380B"/>
    <w:rsid w:val="008B0326"/>
    <w:rsid w:val="008B1107"/>
    <w:rsid w:val="008B726B"/>
    <w:rsid w:val="008C57FB"/>
    <w:rsid w:val="008D3401"/>
    <w:rsid w:val="008F5110"/>
    <w:rsid w:val="00904441"/>
    <w:rsid w:val="00924455"/>
    <w:rsid w:val="0092598E"/>
    <w:rsid w:val="0094391B"/>
    <w:rsid w:val="00943F8E"/>
    <w:rsid w:val="009A0620"/>
    <w:rsid w:val="009D4508"/>
    <w:rsid w:val="009F7005"/>
    <w:rsid w:val="00A020FB"/>
    <w:rsid w:val="00A044AD"/>
    <w:rsid w:val="00A13A51"/>
    <w:rsid w:val="00A2709B"/>
    <w:rsid w:val="00A33900"/>
    <w:rsid w:val="00A3779D"/>
    <w:rsid w:val="00A41337"/>
    <w:rsid w:val="00A70C1F"/>
    <w:rsid w:val="00A71787"/>
    <w:rsid w:val="00A73EDB"/>
    <w:rsid w:val="00A90E18"/>
    <w:rsid w:val="00AB2536"/>
    <w:rsid w:val="00AD0311"/>
    <w:rsid w:val="00AF3189"/>
    <w:rsid w:val="00B31976"/>
    <w:rsid w:val="00B358E4"/>
    <w:rsid w:val="00B47D54"/>
    <w:rsid w:val="00B514AF"/>
    <w:rsid w:val="00B52925"/>
    <w:rsid w:val="00B710E1"/>
    <w:rsid w:val="00B7289F"/>
    <w:rsid w:val="00B80C75"/>
    <w:rsid w:val="00BB3C79"/>
    <w:rsid w:val="00BC4FBE"/>
    <w:rsid w:val="00BD2011"/>
    <w:rsid w:val="00BD4EC7"/>
    <w:rsid w:val="00BD5E65"/>
    <w:rsid w:val="00BE7467"/>
    <w:rsid w:val="00C1276E"/>
    <w:rsid w:val="00C2331D"/>
    <w:rsid w:val="00C27C9C"/>
    <w:rsid w:val="00C460D4"/>
    <w:rsid w:val="00C524CC"/>
    <w:rsid w:val="00C61CF8"/>
    <w:rsid w:val="00C91EA1"/>
    <w:rsid w:val="00CA3B75"/>
    <w:rsid w:val="00CB1B4F"/>
    <w:rsid w:val="00CC474B"/>
    <w:rsid w:val="00D04391"/>
    <w:rsid w:val="00D22D38"/>
    <w:rsid w:val="00D30F54"/>
    <w:rsid w:val="00D650B3"/>
    <w:rsid w:val="00D71BF0"/>
    <w:rsid w:val="00D732FA"/>
    <w:rsid w:val="00D86D34"/>
    <w:rsid w:val="00D91F9B"/>
    <w:rsid w:val="00D933E7"/>
    <w:rsid w:val="00DC242A"/>
    <w:rsid w:val="00DC77C6"/>
    <w:rsid w:val="00E1262A"/>
    <w:rsid w:val="00E20D1A"/>
    <w:rsid w:val="00E340FD"/>
    <w:rsid w:val="00E643E4"/>
    <w:rsid w:val="00E77292"/>
    <w:rsid w:val="00E84F24"/>
    <w:rsid w:val="00EA22D7"/>
    <w:rsid w:val="00EB2D85"/>
    <w:rsid w:val="00EE1BF3"/>
    <w:rsid w:val="00EE603B"/>
    <w:rsid w:val="00EF27DC"/>
    <w:rsid w:val="00F0129F"/>
    <w:rsid w:val="00F15195"/>
    <w:rsid w:val="00F2529D"/>
    <w:rsid w:val="00F27905"/>
    <w:rsid w:val="00F27BE1"/>
    <w:rsid w:val="00F52F7C"/>
    <w:rsid w:val="00F73D09"/>
    <w:rsid w:val="00F802B3"/>
    <w:rsid w:val="00F947EE"/>
    <w:rsid w:val="00F959EA"/>
    <w:rsid w:val="00FD4355"/>
    <w:rsid w:val="00FE00E5"/>
    <w:rsid w:val="00FE3558"/>
    <w:rsid w:val="00FE4C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7487"/>
  <w15:chartTrackingRefBased/>
  <w15:docId w15:val="{5449CB29-BFD6-4893-805C-BB0C6937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3CB4"/>
    <w:pPr>
      <w:ind w:left="720"/>
      <w:contextualSpacing/>
    </w:pPr>
  </w:style>
  <w:style w:type="paragraph" w:styleId="En-tte">
    <w:name w:val="header"/>
    <w:basedOn w:val="Normal"/>
    <w:link w:val="En-tteCar"/>
    <w:uiPriority w:val="99"/>
    <w:unhideWhenUsed/>
    <w:rsid w:val="003B346E"/>
    <w:pPr>
      <w:tabs>
        <w:tab w:val="center" w:pos="4536"/>
        <w:tab w:val="right" w:pos="9072"/>
      </w:tabs>
      <w:spacing w:after="0" w:line="240" w:lineRule="auto"/>
    </w:pPr>
  </w:style>
  <w:style w:type="character" w:customStyle="1" w:styleId="En-tteCar">
    <w:name w:val="En-tête Car"/>
    <w:basedOn w:val="Policepardfaut"/>
    <w:link w:val="En-tte"/>
    <w:uiPriority w:val="99"/>
    <w:rsid w:val="003B346E"/>
  </w:style>
  <w:style w:type="paragraph" w:styleId="Pieddepage">
    <w:name w:val="footer"/>
    <w:basedOn w:val="Normal"/>
    <w:link w:val="PieddepageCar"/>
    <w:uiPriority w:val="99"/>
    <w:unhideWhenUsed/>
    <w:rsid w:val="003B34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346E"/>
  </w:style>
  <w:style w:type="paragraph" w:styleId="Notedebasdepage">
    <w:name w:val="footnote text"/>
    <w:basedOn w:val="Normal"/>
    <w:link w:val="NotedebasdepageCar"/>
    <w:uiPriority w:val="99"/>
    <w:semiHidden/>
    <w:unhideWhenUsed/>
    <w:rsid w:val="00753A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3A28"/>
    <w:rPr>
      <w:sz w:val="20"/>
      <w:szCs w:val="20"/>
    </w:rPr>
  </w:style>
  <w:style w:type="character" w:styleId="Appelnotedebasdep">
    <w:name w:val="footnote reference"/>
    <w:basedOn w:val="Policepardfaut"/>
    <w:uiPriority w:val="99"/>
    <w:semiHidden/>
    <w:unhideWhenUsed/>
    <w:rsid w:val="00753A28"/>
    <w:rPr>
      <w:vertAlign w:val="superscript"/>
    </w:rPr>
  </w:style>
  <w:style w:type="character" w:styleId="Lienhypertexte">
    <w:name w:val="Hyperlink"/>
    <w:basedOn w:val="Policepardfaut"/>
    <w:uiPriority w:val="99"/>
    <w:unhideWhenUsed/>
    <w:rsid w:val="00845B56"/>
    <w:rPr>
      <w:color w:val="0563C1" w:themeColor="hyperlink"/>
      <w:u w:val="single"/>
    </w:rPr>
  </w:style>
  <w:style w:type="character" w:customStyle="1" w:styleId="Mentionnonrsolue1">
    <w:name w:val="Mention non résolue1"/>
    <w:basedOn w:val="Policepardfaut"/>
    <w:uiPriority w:val="99"/>
    <w:semiHidden/>
    <w:unhideWhenUsed/>
    <w:rsid w:val="00845B56"/>
    <w:rPr>
      <w:color w:val="605E5C"/>
      <w:shd w:val="clear" w:color="auto" w:fill="E1DFDD"/>
    </w:rPr>
  </w:style>
  <w:style w:type="character" w:styleId="Accentuation">
    <w:name w:val="Emphasis"/>
    <w:basedOn w:val="Policepardfaut"/>
    <w:uiPriority w:val="20"/>
    <w:qFormat/>
    <w:rsid w:val="00EE603B"/>
    <w:rPr>
      <w:i/>
      <w:iCs/>
    </w:rPr>
  </w:style>
  <w:style w:type="character" w:styleId="Mentionnonrsolue">
    <w:name w:val="Unresolved Mention"/>
    <w:basedOn w:val="Policepardfaut"/>
    <w:uiPriority w:val="99"/>
    <w:semiHidden/>
    <w:unhideWhenUsed/>
    <w:rsid w:val="0048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80620">
      <w:bodyDiv w:val="1"/>
      <w:marLeft w:val="0"/>
      <w:marRight w:val="0"/>
      <w:marTop w:val="0"/>
      <w:marBottom w:val="0"/>
      <w:divBdr>
        <w:top w:val="none" w:sz="0" w:space="0" w:color="auto"/>
        <w:left w:val="none" w:sz="0" w:space="0" w:color="auto"/>
        <w:bottom w:val="none" w:sz="0" w:space="0" w:color="auto"/>
        <w:right w:val="none" w:sz="0" w:space="0" w:color="auto"/>
      </w:divBdr>
    </w:div>
    <w:div w:id="1375230505">
      <w:bodyDiv w:val="1"/>
      <w:marLeft w:val="0"/>
      <w:marRight w:val="0"/>
      <w:marTop w:val="0"/>
      <w:marBottom w:val="0"/>
      <w:divBdr>
        <w:top w:val="none" w:sz="0" w:space="0" w:color="auto"/>
        <w:left w:val="none" w:sz="0" w:space="0" w:color="auto"/>
        <w:bottom w:val="none" w:sz="0" w:space="0" w:color="auto"/>
        <w:right w:val="none" w:sz="0" w:space="0" w:color="auto"/>
      </w:divBdr>
      <w:divsChild>
        <w:div w:id="1253396938">
          <w:marLeft w:val="0"/>
          <w:marRight w:val="0"/>
          <w:marTop w:val="0"/>
          <w:marBottom w:val="0"/>
          <w:divBdr>
            <w:top w:val="none" w:sz="0" w:space="0" w:color="auto"/>
            <w:left w:val="none" w:sz="0" w:space="0" w:color="auto"/>
            <w:bottom w:val="none" w:sz="0" w:space="0" w:color="auto"/>
            <w:right w:val="none" w:sz="0" w:space="0" w:color="auto"/>
          </w:divBdr>
        </w:div>
        <w:div w:id="1279726831">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
        <w:div w:id="900872277">
          <w:marLeft w:val="0"/>
          <w:marRight w:val="0"/>
          <w:marTop w:val="0"/>
          <w:marBottom w:val="0"/>
          <w:divBdr>
            <w:top w:val="none" w:sz="0" w:space="0" w:color="auto"/>
            <w:left w:val="none" w:sz="0" w:space="0" w:color="auto"/>
            <w:bottom w:val="none" w:sz="0" w:space="0" w:color="auto"/>
            <w:right w:val="none" w:sz="0" w:space="0" w:color="auto"/>
          </w:divBdr>
        </w:div>
        <w:div w:id="517817756">
          <w:marLeft w:val="0"/>
          <w:marRight w:val="0"/>
          <w:marTop w:val="0"/>
          <w:marBottom w:val="0"/>
          <w:divBdr>
            <w:top w:val="none" w:sz="0" w:space="0" w:color="auto"/>
            <w:left w:val="none" w:sz="0" w:space="0" w:color="auto"/>
            <w:bottom w:val="none" w:sz="0" w:space="0" w:color="auto"/>
            <w:right w:val="none" w:sz="0" w:space="0" w:color="auto"/>
          </w:divBdr>
        </w:div>
        <w:div w:id="142282385">
          <w:marLeft w:val="0"/>
          <w:marRight w:val="0"/>
          <w:marTop w:val="0"/>
          <w:marBottom w:val="0"/>
          <w:divBdr>
            <w:top w:val="none" w:sz="0" w:space="0" w:color="auto"/>
            <w:left w:val="none" w:sz="0" w:space="0" w:color="auto"/>
            <w:bottom w:val="none" w:sz="0" w:space="0" w:color="auto"/>
            <w:right w:val="none" w:sz="0" w:space="0" w:color="auto"/>
          </w:divBdr>
        </w:div>
        <w:div w:id="1563760207">
          <w:marLeft w:val="0"/>
          <w:marRight w:val="0"/>
          <w:marTop w:val="0"/>
          <w:marBottom w:val="0"/>
          <w:divBdr>
            <w:top w:val="none" w:sz="0" w:space="0" w:color="auto"/>
            <w:left w:val="none" w:sz="0" w:space="0" w:color="auto"/>
            <w:bottom w:val="none" w:sz="0" w:space="0" w:color="auto"/>
            <w:right w:val="none" w:sz="0" w:space="0" w:color="auto"/>
          </w:divBdr>
        </w:div>
        <w:div w:id="1770467087">
          <w:marLeft w:val="0"/>
          <w:marRight w:val="0"/>
          <w:marTop w:val="0"/>
          <w:marBottom w:val="0"/>
          <w:divBdr>
            <w:top w:val="none" w:sz="0" w:space="0" w:color="auto"/>
            <w:left w:val="none" w:sz="0" w:space="0" w:color="auto"/>
            <w:bottom w:val="none" w:sz="0" w:space="0" w:color="auto"/>
            <w:right w:val="none" w:sz="0" w:space="0" w:color="auto"/>
          </w:divBdr>
        </w:div>
        <w:div w:id="1940327430">
          <w:marLeft w:val="0"/>
          <w:marRight w:val="0"/>
          <w:marTop w:val="0"/>
          <w:marBottom w:val="0"/>
          <w:divBdr>
            <w:top w:val="none" w:sz="0" w:space="0" w:color="auto"/>
            <w:left w:val="none" w:sz="0" w:space="0" w:color="auto"/>
            <w:bottom w:val="none" w:sz="0" w:space="0" w:color="auto"/>
            <w:right w:val="none" w:sz="0" w:space="0" w:color="auto"/>
          </w:divBdr>
        </w:div>
        <w:div w:id="1375497007">
          <w:marLeft w:val="0"/>
          <w:marRight w:val="0"/>
          <w:marTop w:val="0"/>
          <w:marBottom w:val="0"/>
          <w:divBdr>
            <w:top w:val="none" w:sz="0" w:space="0" w:color="auto"/>
            <w:left w:val="none" w:sz="0" w:space="0" w:color="auto"/>
            <w:bottom w:val="none" w:sz="0" w:space="0" w:color="auto"/>
            <w:right w:val="none" w:sz="0" w:space="0" w:color="auto"/>
          </w:divBdr>
        </w:div>
        <w:div w:id="138960481">
          <w:marLeft w:val="0"/>
          <w:marRight w:val="0"/>
          <w:marTop w:val="0"/>
          <w:marBottom w:val="0"/>
          <w:divBdr>
            <w:top w:val="none" w:sz="0" w:space="0" w:color="auto"/>
            <w:left w:val="none" w:sz="0" w:space="0" w:color="auto"/>
            <w:bottom w:val="none" w:sz="0" w:space="0" w:color="auto"/>
            <w:right w:val="none" w:sz="0" w:space="0" w:color="auto"/>
          </w:divBdr>
        </w:div>
        <w:div w:id="172020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hr-bodies/upr/tn-index" TargetMode="External"/><Relationship Id="rId13" Type="http://schemas.openxmlformats.org/officeDocument/2006/relationships/hyperlink" Target="https://www.ohchr.org/en/hr-bodies/upr/tn-index" TargetMode="External"/><Relationship Id="rId3" Type="http://schemas.openxmlformats.org/officeDocument/2006/relationships/hyperlink" Target="https://www.ohchr.org/en/hr-bodies/upr/tn-index" TargetMode="External"/><Relationship Id="rId7" Type="http://schemas.openxmlformats.org/officeDocument/2006/relationships/hyperlink" Target="https://www.ohchr.org/en/hr-bodies/upr/tn-index" TargetMode="External"/><Relationship Id="rId12" Type="http://schemas.openxmlformats.org/officeDocument/2006/relationships/hyperlink" Target="https://www.ohchr.org/en/hr-bodies/upr/tn-index" TargetMode="External"/><Relationship Id="rId2" Type="http://schemas.openxmlformats.org/officeDocument/2006/relationships/hyperlink" Target="https://www.ohchr.org/en/hr-bodies/upr/tn-index" TargetMode="External"/><Relationship Id="rId1" Type="http://schemas.openxmlformats.org/officeDocument/2006/relationships/hyperlink" Target="http://www.adlitn.org" TargetMode="External"/><Relationship Id="rId6" Type="http://schemas.openxmlformats.org/officeDocument/2006/relationships/hyperlink" Target="https://www.ohchr.org/en/hr-bodies/upr/tn-index" TargetMode="External"/><Relationship Id="rId11" Type="http://schemas.openxmlformats.org/officeDocument/2006/relationships/hyperlink" Target="https://www.ohchr.org/en/hr-bodies/upr/tn-index" TargetMode="External"/><Relationship Id="rId5" Type="http://schemas.openxmlformats.org/officeDocument/2006/relationships/hyperlink" Target="https://www.ohchr.org/en/hr-bodies/upr/tn-index" TargetMode="External"/><Relationship Id="rId10" Type="http://schemas.openxmlformats.org/officeDocument/2006/relationships/hyperlink" Target="https://www.ohchr.org/en/hr-bodies/upr/tn-index" TargetMode="External"/><Relationship Id="rId4" Type="http://schemas.openxmlformats.org/officeDocument/2006/relationships/hyperlink" Target="https://www.ohchr.org/en/hr-bodies/upr/tn-index" TargetMode="External"/><Relationship Id="rId9" Type="http://schemas.openxmlformats.org/officeDocument/2006/relationships/hyperlink" Target="https://www.ohchr.org/en/hr-bodies/upr/tn-index" TargetMode="External"/><Relationship Id="rId14" Type="http://schemas.openxmlformats.org/officeDocument/2006/relationships/hyperlink" Target="https://www.ohchr.org/en/hr-bodies/upr/tn-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B8D5-1417-4FAE-865E-F16BE72E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12351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 Ferchichi</dc:creator>
  <cp:keywords/>
  <dc:description/>
  <cp:lastModifiedBy>Wahid Ferchichi</cp:lastModifiedBy>
  <cp:revision>2</cp:revision>
  <dcterms:created xsi:type="dcterms:W3CDTF">2022-11-15T05:42:00Z</dcterms:created>
  <dcterms:modified xsi:type="dcterms:W3CDTF">2022-11-15T05:42:00Z</dcterms:modified>
</cp:coreProperties>
</file>